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numbering.xml" ContentType="application/vnd.openxmlformats-officedocument.wordprocessingml.numbering+xml"/>
  <Override PartName="/word/footer3.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header2.xml" ContentType="application/vnd.openxmlformats-officedocument.wordprocessingml.header+xml"/>
  <Override PartName="/word/fontTable.xml" ContentType="application/vnd.openxmlformats-officedocument.wordprocessingml.fontTable+xml"/>
  <Override PartName="/word/media/image1.png" ContentType="image/png"/>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p>
      <w:pPr>
        <w:pStyle w:val="Normal"/>
        <w:rPr>
          <w:color w:val="000000"/>
          <w:vertAlign w:val="superscript"/>
        </w:rPr>
      </w:pPr>
      <w:r>
        <w:rPr>
          <w:color w:val="000000"/>
          <w:vertAlign w:val="superscript"/>
        </w:rPr>
      </w:r>
    </w:p>
    <w:p>
      <w:pPr>
        <w:pStyle w:val="Normal"/>
        <w:tabs>
          <w:tab w:val="clear" w:pos="709"/>
          <w:tab w:val="left" w:pos="1140" w:leader="none"/>
        </w:tabs>
        <w:spacing w:lineRule="auto" w:line="360"/>
        <w:jc w:val="center"/>
        <w:rPr/>
      </w:pPr>
      <w:r>
        <w:rPr>
          <w:rFonts w:ascii="Times" w:hAnsi="Times"/>
          <w:b/>
          <w:color w:val="000000"/>
          <w:sz w:val="28"/>
          <w:szCs w:val="28"/>
        </w:rPr>
        <w:t>Title: SMM 2025 Paper Template (14 Times New Roman)</w:t>
      </w:r>
    </w:p>
    <w:p>
      <w:pPr>
        <w:pStyle w:val="LOnormal"/>
        <w:spacing w:lineRule="auto" w:line="360" w:before="120" w:after="120"/>
        <w:jc w:val="center"/>
        <w:rPr>
          <w:color w:val="000000"/>
          <w:vertAlign w:val="superscript"/>
        </w:rPr>
      </w:pPr>
      <w:bookmarkStart w:id="0" w:name="_heading=h.gjdgxs1"/>
      <w:bookmarkEnd w:id="0"/>
      <w:r>
        <w:rPr>
          <w:color w:val="000000"/>
          <w:sz w:val="22"/>
          <w:szCs w:val="22"/>
        </w:rPr>
        <w:t>First Author*</w:t>
      </w:r>
      <w:r>
        <w:rPr>
          <w:color w:val="000000"/>
          <w:sz w:val="22"/>
          <w:szCs w:val="22"/>
          <w:vertAlign w:val="superscript"/>
        </w:rPr>
        <w:t>1</w:t>
      </w:r>
      <w:r>
        <w:rPr>
          <w:color w:val="000000"/>
          <w:sz w:val="22"/>
          <w:szCs w:val="22"/>
        </w:rPr>
        <w:t>, Second Author</w:t>
      </w:r>
      <w:r>
        <w:rPr>
          <w:color w:val="000000"/>
          <w:sz w:val="22"/>
          <w:szCs w:val="22"/>
          <w:vertAlign w:val="superscript"/>
        </w:rPr>
        <w:t>2</w:t>
      </w:r>
      <w:r>
        <w:rPr>
          <w:color w:val="000000"/>
          <w:sz w:val="22"/>
          <w:szCs w:val="22"/>
        </w:rPr>
        <w:t xml:space="preserve"> and Third Author</w:t>
      </w:r>
      <w:r>
        <w:rPr>
          <w:color w:val="000000"/>
          <w:sz w:val="22"/>
          <w:szCs w:val="22"/>
          <w:vertAlign w:val="superscript"/>
        </w:rPr>
        <w:t>3 (11 Times New Roman)</w:t>
      </w:r>
    </w:p>
    <w:p>
      <w:pPr>
        <w:pStyle w:val="LOnormal"/>
        <w:tabs>
          <w:tab w:val="clear" w:pos="709"/>
          <w:tab w:val="left" w:pos="-879" w:leader="none"/>
          <w:tab w:val="left" w:pos="0" w:leader="none"/>
          <w:tab w:val="left" w:pos="1627"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s>
        <w:spacing w:lineRule="auto" w:line="276" w:before="0" w:after="0"/>
        <w:rPr/>
      </w:pPr>
      <w:r>
        <w:rPr>
          <w:vertAlign w:val="superscript"/>
        </w:rPr>
        <w:t>1</w:t>
      </w:r>
      <w:r>
        <w:rPr/>
        <w:t xml:space="preserve">Authors’ Laboratory, Institute- university, Adress, Country, e-mail </w:t>
      </w:r>
      <w:r>
        <w:rPr>
          <w:vertAlign w:val="superscript"/>
        </w:rPr>
        <w:t>(10 Times New Roman)</w:t>
      </w:r>
      <w:r>
        <w:rPr/>
        <w:t>,</w:t>
      </w:r>
    </w:p>
    <w:p>
      <w:pPr>
        <w:pStyle w:val="LOnormal"/>
        <w:tabs>
          <w:tab w:val="clear" w:pos="709"/>
          <w:tab w:val="left" w:pos="-879" w:leader="none"/>
          <w:tab w:val="left" w:pos="0" w:leader="none"/>
          <w:tab w:val="left" w:pos="1627"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s>
        <w:spacing w:lineRule="auto" w:line="276" w:before="0" w:after="0"/>
        <w:rPr/>
      </w:pPr>
      <w:r>
        <w:rPr>
          <w:vertAlign w:val="superscript"/>
        </w:rPr>
        <w:t>2</w:t>
      </w:r>
      <w:r>
        <w:rPr/>
        <w:t xml:space="preserve"> Authors’ Laboratory, Institute- university, Adress, Country, e-mail </w:t>
      </w:r>
      <w:r>
        <w:rPr>
          <w:vertAlign w:val="superscript"/>
        </w:rPr>
        <w:t>(10 Times New Roman)</w:t>
      </w:r>
      <w:r>
        <w:rPr/>
        <w:t>,</w:t>
      </w:r>
    </w:p>
    <w:p>
      <w:pPr>
        <w:pStyle w:val="LOnormal"/>
        <w:tabs>
          <w:tab w:val="clear" w:pos="709"/>
          <w:tab w:val="left" w:pos="-879" w:leader="none"/>
          <w:tab w:val="left" w:pos="0" w:leader="none"/>
          <w:tab w:val="left" w:pos="1627"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s>
        <w:spacing w:lineRule="auto" w:line="276" w:before="0" w:after="0"/>
        <w:rPr/>
      </w:pPr>
      <w:r>
        <w:rPr>
          <w:vertAlign w:val="superscript"/>
        </w:rPr>
        <w:t>3</w:t>
      </w:r>
      <w:r>
        <w:rPr/>
        <w:t>Authors’ Laboratory, Institute- university, Adress, Country,</w:t>
      </w:r>
      <w:r>
        <w:rPr>
          <w:vertAlign w:val="superscript"/>
        </w:rPr>
        <w:t xml:space="preserve"> </w:t>
      </w:r>
      <w:r>
        <w:rPr/>
        <w:t xml:space="preserve">e-mail </w:t>
      </w:r>
      <w:r>
        <w:rPr>
          <w:vertAlign w:val="superscript"/>
        </w:rPr>
        <w:t>(10 Times New Roman)</w:t>
      </w:r>
      <w:r>
        <w:rPr/>
        <w:t>,</w:t>
      </w:r>
    </w:p>
    <w:p>
      <w:pPr>
        <w:pStyle w:val="LOnormal"/>
        <w:tabs>
          <w:tab w:val="clear" w:pos="709"/>
          <w:tab w:val="left" w:pos="-879" w:leader="none"/>
          <w:tab w:val="left" w:pos="0" w:leader="none"/>
          <w:tab w:val="left" w:pos="1627"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s>
        <w:spacing w:lineRule="auto" w:line="276"/>
        <w:rPr/>
      </w:pPr>
      <w:r>
        <w:rPr/>
      </w:r>
    </w:p>
    <w:p>
      <w:pPr>
        <w:pStyle w:val="LOnormal"/>
        <w:tabs>
          <w:tab w:val="clear" w:pos="709"/>
          <w:tab w:val="left" w:pos="-879" w:leader="none"/>
          <w:tab w:val="left" w:pos="0" w:leader="none"/>
          <w:tab w:val="left" w:pos="1627"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s>
        <w:spacing w:lineRule="auto" w:line="276"/>
        <w:rPr/>
      </w:pPr>
      <w:r>
        <w:rPr/>
        <w:t xml:space="preserve">*Corresponding author E-mail: </w:t>
      </w:r>
      <w:hyperlink r:id="rId2">
        <w:r>
          <w:rPr>
            <w:color w:val="0000FF"/>
            <w:u w:val="single"/>
          </w:rPr>
          <w:t>correspondingauthorname@aaa.bbb</w:t>
        </w:r>
      </w:hyperlink>
    </w:p>
    <w:p>
      <w:pPr>
        <w:pStyle w:val="LOnormal"/>
        <w:spacing w:lineRule="auto" w:line="276" w:before="240" w:after="120"/>
        <w:ind w:hanging="0"/>
        <w:rPr/>
      </w:pPr>
      <w:r>
        <w:rPr>
          <w:b/>
        </w:rPr>
        <w:t>Abstract:</w:t>
      </w:r>
      <w:r>
        <w:rPr/>
        <w:t xml:space="preserve"> This is the template and instructions for papers. Authors are advised to read the paper guidelines carefully and follow them strictly. The paper should start with an abstract of a minimum of 200 words and a maximum of 250 words, which summarizes the objectives, originality, and conclusions (main results) of the paper. The abstract should not include acronyms, references, figures, or tables. The abstract is very important as it will initiate and give an overview of the whole work.</w:t>
      </w:r>
    </w:p>
    <w:p>
      <w:pPr>
        <w:pStyle w:val="LOnormal"/>
        <w:spacing w:lineRule="auto" w:line="276"/>
        <w:ind w:hanging="0"/>
        <w:rPr/>
      </w:pPr>
      <w:r>
        <w:rPr>
          <w:b/>
        </w:rPr>
        <w:t>Keywords:</w:t>
      </w:r>
      <w:r>
        <w:rPr/>
        <w:t xml:space="preserve"> Indicate no more than </w:t>
      </w:r>
      <w:r>
        <w:rPr>
          <w:b/>
        </w:rPr>
        <w:t>5 keywords</w:t>
      </w:r>
      <w:r>
        <w:rPr/>
        <w:t xml:space="preserve"> written in lowercase, separated by semicolons: Shape memory; Additive manufacturing; Surface treatment; Modelling; Auxetic.</w:t>
      </w:r>
    </w:p>
    <w:p>
      <w:pPr>
        <w:pStyle w:val="LOnormal"/>
        <w:spacing w:lineRule="auto" w:line="276" w:before="120" w:after="0"/>
        <w:rPr/>
      </w:pPr>
      <w:r>
        <w:rPr/>
        <w:t xml:space="preserve">Instructions are provided for preparing the document using MS Word and LaTeX - you may use either method. Sections that are not mandatory are listed as such. The section titles given are for articles. Review papers and other article types have a more flexible structure. A well-structured article helps readers find the information it communicates and to easily follow the authors’ methodologies and arguments. </w:t>
      </w:r>
      <w:bookmarkStart w:id="1" w:name="bookmark=id.1fob9te"/>
      <w:bookmarkEnd w:id="1"/>
      <w:r>
        <w:rPr/>
        <w:t xml:space="preserve">To help this, most articles follow a common pattern and structure called IMRaD. IMRaD refers to the standard structure of the body of research manuscripts (after the Title and Abstract). This consists of: </w:t>
      </w:r>
    </w:p>
    <w:p>
      <w:pPr>
        <w:pStyle w:val="LOnormal"/>
        <w:numPr>
          <w:ilvl w:val="0"/>
          <w:numId w:val="1"/>
        </w:numPr>
        <w:spacing w:lineRule="auto" w:line="276" w:before="0" w:after="0"/>
        <w:rPr>
          <w:color w:val="000000"/>
        </w:rPr>
      </w:pPr>
      <w:r>
        <w:rPr>
          <w:color w:val="000000"/>
        </w:rPr>
        <w:t>Introduction</w:t>
      </w:r>
    </w:p>
    <w:p>
      <w:pPr>
        <w:pStyle w:val="LOnormal"/>
        <w:numPr>
          <w:ilvl w:val="0"/>
          <w:numId w:val="1"/>
        </w:numPr>
        <w:spacing w:lineRule="auto" w:line="276" w:before="0" w:after="0"/>
        <w:rPr>
          <w:color w:val="000000"/>
        </w:rPr>
      </w:pPr>
      <w:r>
        <w:rPr>
          <w:color w:val="000000"/>
        </w:rPr>
        <w:t>Materials and Methods</w:t>
      </w:r>
    </w:p>
    <w:p>
      <w:pPr>
        <w:pStyle w:val="LOnormal"/>
        <w:numPr>
          <w:ilvl w:val="0"/>
          <w:numId w:val="1"/>
        </w:numPr>
        <w:spacing w:lineRule="auto" w:line="276" w:before="0" w:after="0"/>
        <w:rPr>
          <w:color w:val="000000"/>
        </w:rPr>
      </w:pPr>
      <w:r>
        <w:rPr>
          <w:color w:val="000000"/>
        </w:rPr>
        <w:t>Results</w:t>
      </w:r>
    </w:p>
    <w:p>
      <w:pPr>
        <w:pStyle w:val="LOnormal"/>
        <w:numPr>
          <w:ilvl w:val="0"/>
          <w:numId w:val="1"/>
        </w:numPr>
        <w:spacing w:lineRule="auto" w:line="276" w:before="0" w:after="0"/>
        <w:rPr>
          <w:color w:val="000000"/>
        </w:rPr>
      </w:pPr>
      <w:r>
        <w:rPr>
          <w:color w:val="000000"/>
        </w:rPr>
        <w:t>Discussion and Conclusions</w:t>
      </w:r>
    </w:p>
    <w:p>
      <w:pPr>
        <w:pStyle w:val="LOnormal"/>
        <w:spacing w:lineRule="auto" w:line="276" w:before="240" w:after="120"/>
        <w:ind w:firstLine="288"/>
        <w:rPr/>
      </w:pPr>
      <w:r>
        <w:rPr/>
        <w:t>Not all journals use these section titles in this order, but most published articles have a structure similar to IMRaD. This standard structure:</w:t>
      </w:r>
    </w:p>
    <w:p>
      <w:pPr>
        <w:pStyle w:val="LOnormal"/>
        <w:numPr>
          <w:ilvl w:val="0"/>
          <w:numId w:val="2"/>
        </w:numPr>
        <w:spacing w:lineRule="auto" w:line="276" w:before="0" w:after="0"/>
        <w:rPr>
          <w:color w:val="000000"/>
        </w:rPr>
      </w:pPr>
      <w:r>
        <w:rPr>
          <w:color w:val="000000"/>
        </w:rPr>
        <w:t>Gives a logical flow to the content</w:t>
      </w:r>
    </w:p>
    <w:p>
      <w:pPr>
        <w:pStyle w:val="LOnormal"/>
        <w:numPr>
          <w:ilvl w:val="0"/>
          <w:numId w:val="2"/>
        </w:numPr>
        <w:spacing w:lineRule="auto" w:line="276" w:before="0" w:after="0"/>
        <w:rPr>
          <w:color w:val="000000"/>
        </w:rPr>
      </w:pPr>
      <w:r>
        <w:rPr>
          <w:color w:val="000000"/>
        </w:rPr>
        <w:t>Makes journal manuscripts consistent and easy to read</w:t>
      </w:r>
    </w:p>
    <w:p>
      <w:pPr>
        <w:pStyle w:val="LOnormal"/>
        <w:numPr>
          <w:ilvl w:val="0"/>
          <w:numId w:val="2"/>
        </w:numPr>
        <w:spacing w:lineRule="auto" w:line="276" w:before="0" w:after="0"/>
        <w:rPr>
          <w:color w:val="000000"/>
        </w:rPr>
      </w:pPr>
      <w:r>
        <w:rPr>
          <w:color w:val="000000"/>
        </w:rPr>
        <w:t>Provides a “map” so that readers can quickly find content of interest in any manuscript</w:t>
      </w:r>
    </w:p>
    <w:p>
      <w:pPr>
        <w:pStyle w:val="LOnormal"/>
        <w:numPr>
          <w:ilvl w:val="0"/>
          <w:numId w:val="2"/>
        </w:numPr>
        <w:spacing w:lineRule="auto" w:line="276" w:before="0" w:after="0"/>
        <w:rPr>
          <w:color w:val="000000"/>
        </w:rPr>
      </w:pPr>
      <w:r>
        <w:rPr>
          <w:color w:val="000000"/>
        </w:rPr>
        <w:t>Reminds authors what content should be included in an article</w:t>
      </w:r>
    </w:p>
    <w:p>
      <w:pPr>
        <w:pStyle w:val="LOnormal"/>
        <w:numPr>
          <w:ilvl w:val="0"/>
          <w:numId w:val="2"/>
        </w:numPr>
        <w:spacing w:lineRule="auto" w:line="276" w:before="0" w:after="0"/>
        <w:rPr>
          <w:color w:val="000000"/>
        </w:rPr>
      </w:pPr>
      <w:r>
        <w:rPr>
          <w:color w:val="000000"/>
        </w:rPr>
        <w:t>Provides all content needed for the work to be replicated and reproduced</w:t>
      </w:r>
    </w:p>
    <w:p>
      <w:pPr>
        <w:pStyle w:val="LOnormal"/>
        <w:spacing w:lineRule="auto" w:line="276" w:before="0" w:after="0"/>
        <w:ind w:left="1008" w:hanging="360"/>
        <w:rPr>
          <w:color w:val="000000"/>
        </w:rPr>
      </w:pPr>
      <w:r>
        <w:rPr>
          <w:color w:val="000000"/>
        </w:rPr>
      </w:r>
    </w:p>
    <w:p>
      <w:pPr>
        <w:pStyle w:val="Normal"/>
        <w:rPr>
          <w:rFonts w:ascii="Times" w:hAnsi="Times" w:eastAsia="Times" w:cs="Times"/>
          <w:color w:val="000000"/>
          <w:kern w:val="0"/>
          <w:sz w:val="20"/>
          <w:szCs w:val="20"/>
          <w:lang w:val="en-US"/>
        </w:rPr>
      </w:pPr>
      <w:r>
        <w:rPr>
          <w:rFonts w:eastAsia="Times" w:cs="Times" w:ascii="Times" w:hAnsi="Times"/>
          <w:color w:val="000000"/>
          <w:kern w:val="0"/>
          <w:sz w:val="20"/>
          <w:szCs w:val="20"/>
          <w:lang w:val="en-US"/>
        </w:rPr>
      </w:r>
      <w:r>
        <w:br w:type="page"/>
      </w:r>
    </w:p>
    <w:p>
      <w:pPr>
        <w:pStyle w:val="LOnormal"/>
        <w:spacing w:lineRule="auto" w:line="276" w:before="240" w:after="120"/>
        <w:ind w:hanging="0"/>
        <w:rPr>
          <w:b/>
          <w:b/>
        </w:rPr>
      </w:pPr>
      <w:r>
        <w:rPr>
          <w:b/>
        </w:rPr>
        <w:t>1 Introduction</w:t>
      </w:r>
    </w:p>
    <w:p>
      <w:pPr>
        <w:pStyle w:val="LOnormal"/>
        <w:spacing w:lineRule="auto" w:line="276" w:before="240" w:after="120"/>
        <w:ind w:firstLine="288"/>
        <w:rPr/>
      </w:pPr>
      <w:r>
        <w:rPr/>
        <w:t>The Introduction should provide readers with the background information needed to understand your study, and the reasons why you conducted your experiments. The Introduction should answer the question: what question/problem did you study?  An effective introduction should captivate the reader by highlighting the scientific or technical significance of your work. Additionally, a thorough literature review demonstrating the current understanding of the chosen theme is crucial. This review should also identify gaps in knowledge or limitations of existing research that your ongoing work aims to address.</w:t>
      </w:r>
    </w:p>
    <w:p>
      <w:pPr>
        <w:pStyle w:val="LOnormal"/>
        <w:spacing w:lineRule="auto" w:line="276" w:before="240" w:after="120"/>
        <w:ind w:hanging="0"/>
        <w:rPr/>
      </w:pPr>
      <w:r>
        <w:rPr/>
        <w:t xml:space="preserve">The maximum length for short papers is 4 pages. </w:t>
      </w:r>
    </w:p>
    <w:p>
      <w:pPr>
        <w:pStyle w:val="LOnormal"/>
        <w:spacing w:lineRule="auto" w:line="276" w:before="240" w:after="120"/>
        <w:ind w:hanging="0"/>
        <w:rPr/>
      </w:pPr>
      <w:r>
        <w:rPr/>
        <w:t>References should be numbered in order of appearance and indicated by a numeral or numerals in square brackets—e.g., [1] or [2,3], or [4–6]. See the end of the document for further details on references.</w:t>
      </w:r>
    </w:p>
    <w:p>
      <w:pPr>
        <w:pStyle w:val="LOnormal"/>
        <w:spacing w:lineRule="auto" w:line="276" w:before="240" w:after="120"/>
        <w:ind w:hanging="0"/>
        <w:rPr>
          <w:b/>
          <w:b/>
        </w:rPr>
      </w:pPr>
      <w:r>
        <w:rPr>
          <w:b/>
        </w:rPr>
        <w:t>2 Materials and Methods</w:t>
      </w:r>
    </w:p>
    <w:p>
      <w:pPr>
        <w:pStyle w:val="LOnormal"/>
        <w:spacing w:lineRule="auto" w:line="276" w:before="240" w:after="120"/>
        <w:ind w:firstLine="288"/>
        <w:rPr/>
      </w:pPr>
      <w:r>
        <w:rPr/>
        <w:t>This Methods and Materials section provides the reader with all the details of how you conducted your study. You should:</w:t>
      </w:r>
    </w:p>
    <w:p>
      <w:pPr>
        <w:pStyle w:val="LOnormal"/>
        <w:numPr>
          <w:ilvl w:val="0"/>
          <w:numId w:val="3"/>
        </w:numPr>
        <w:spacing w:lineRule="auto" w:line="276" w:before="240" w:after="200"/>
        <w:rPr>
          <w:color w:val="000000"/>
        </w:rPr>
      </w:pPr>
      <w:r>
        <w:rPr>
          <w:color w:val="000000"/>
        </w:rPr>
        <w:t>Use subheadings to separate different methodologies</w:t>
      </w:r>
    </w:p>
    <w:p>
      <w:pPr>
        <w:pStyle w:val="LOnormal"/>
        <w:numPr>
          <w:ilvl w:val="0"/>
          <w:numId w:val="3"/>
        </w:numPr>
        <w:spacing w:lineRule="auto" w:line="276"/>
        <w:rPr>
          <w:color w:val="000000"/>
        </w:rPr>
      </w:pPr>
      <w:r>
        <w:rPr>
          <w:color w:val="000000"/>
        </w:rPr>
        <w:t>Describe what you did in the past tense</w:t>
      </w:r>
    </w:p>
    <w:p>
      <w:pPr>
        <w:pStyle w:val="LOnormal"/>
        <w:numPr>
          <w:ilvl w:val="0"/>
          <w:numId w:val="3"/>
        </w:numPr>
        <w:spacing w:lineRule="auto" w:line="276"/>
        <w:rPr>
          <w:color w:val="000000"/>
        </w:rPr>
      </w:pPr>
      <w:r>
        <w:rPr>
          <w:color w:val="000000"/>
        </w:rPr>
        <w:t>Describe new methods in enough detail that another researcher can reproduce your experiment</w:t>
      </w:r>
    </w:p>
    <w:p>
      <w:pPr>
        <w:pStyle w:val="LOnormal"/>
        <w:numPr>
          <w:ilvl w:val="0"/>
          <w:numId w:val="3"/>
        </w:numPr>
        <w:spacing w:lineRule="auto" w:line="276"/>
        <w:rPr>
          <w:color w:val="000000"/>
        </w:rPr>
      </w:pPr>
      <w:r>
        <w:rPr>
          <w:color w:val="000000"/>
        </w:rPr>
        <w:t>Describe established methods briefly, and simply cite a reference where readers can find more detail</w:t>
      </w:r>
    </w:p>
    <w:p>
      <w:pPr>
        <w:pStyle w:val="LOnormal"/>
        <w:numPr>
          <w:ilvl w:val="0"/>
          <w:numId w:val="3"/>
        </w:numPr>
        <w:spacing w:lineRule="auto" w:line="276" w:before="120" w:after="120"/>
        <w:rPr>
          <w:color w:val="000000"/>
        </w:rPr>
      </w:pPr>
      <w:r>
        <w:rPr>
          <w:color w:val="000000"/>
        </w:rPr>
        <w:t>State all statistical tests and parameters</w:t>
      </w:r>
    </w:p>
    <w:p>
      <w:pPr>
        <w:pStyle w:val="LOnormal"/>
        <w:spacing w:lineRule="auto" w:line="276" w:before="240" w:after="120"/>
        <w:ind w:hanging="0"/>
        <w:rPr>
          <w:b/>
          <w:b/>
        </w:rPr>
      </w:pPr>
      <w:r>
        <w:rPr>
          <w:b/>
        </w:rPr>
        <w:t>3. Results</w:t>
      </w:r>
    </w:p>
    <w:p>
      <w:pPr>
        <w:pStyle w:val="LOnormal"/>
        <w:spacing w:lineRule="auto" w:line="276"/>
        <w:ind w:firstLine="288"/>
        <w:rPr/>
      </w:pPr>
      <w:r>
        <w:rPr/>
        <w:t>In the Results section, simply state what you found, but do not interpret the results or discuss their implications. As in the Methods and Materials section, use subheadings to separate the results of different experiments. Results should be presented in a logical order. In general, this will be in order of importance, not necessarily the order in which the experiments were performed. Use the past tense to describe your results; however, refer to figures and tables in the present tense.</w:t>
      </w:r>
    </w:p>
    <w:p>
      <w:pPr>
        <w:pStyle w:val="LOnormal"/>
        <w:spacing w:lineRule="auto" w:line="276"/>
        <w:ind w:firstLine="288"/>
        <w:rPr/>
      </w:pPr>
      <w:r>
        <w:rPr/>
        <w:t>Do not duplicate data among figures, tables, and text. A common mistake is to re-state much of the data from a table in the text of the manuscript. Instead, use the text to summarize what the reader will find in the table, or mention one or two of the most important data points. It is usually much easier to read data in a table than in the text.</w:t>
      </w:r>
    </w:p>
    <w:p>
      <w:pPr>
        <w:pStyle w:val="LOnormal"/>
        <w:spacing w:lineRule="auto" w:line="276" w:before="120" w:after="120"/>
        <w:ind w:firstLine="288"/>
        <w:rPr/>
      </w:pPr>
      <w:r>
        <w:rPr/>
        <w:t>Include the results of statistical analyses in the text, usually by providing p values wherever statistically significant differences are described.</w:t>
      </w:r>
    </w:p>
    <w:p>
      <w:pPr>
        <w:pStyle w:val="LOnormal"/>
        <w:spacing w:lineRule="auto" w:line="276" w:before="240" w:after="120"/>
        <w:ind w:hanging="0"/>
        <w:rPr>
          <w:b/>
          <w:b/>
        </w:rPr>
      </w:pPr>
      <w:r>
        <w:rPr>
          <w:b/>
        </w:rPr>
        <w:t>3.1 Subsection</w:t>
      </w:r>
    </w:p>
    <w:p>
      <w:pPr>
        <w:pStyle w:val="LOnormal"/>
        <w:spacing w:lineRule="auto" w:line="276" w:before="240" w:after="120"/>
        <w:ind w:hanging="0"/>
        <w:rPr/>
      </w:pPr>
      <w:r>
        <w:rPr/>
        <w:t>3.1.1 Sub-subsection</w:t>
      </w:r>
    </w:p>
    <w:p>
      <w:pPr>
        <w:pStyle w:val="LOnormal"/>
        <w:spacing w:lineRule="auto" w:line="276" w:before="240" w:after="120"/>
        <w:ind w:hanging="0"/>
        <w:rPr/>
      </w:pPr>
      <w:r>
        <w:rPr/>
        <w:t>Bulleted lists look like this:</w:t>
      </w:r>
    </w:p>
    <w:p>
      <w:pPr>
        <w:pStyle w:val="LOnormal"/>
        <w:spacing w:lineRule="auto" w:line="276" w:before="240" w:after="120"/>
        <w:ind w:hanging="0"/>
        <w:rPr/>
      </w:pPr>
      <w:r>
        <w:rPr/>
        <w:t>•</w:t>
      </w:r>
      <w:r>
        <w:rPr/>
        <w:tab/>
        <w:t>First bullet;</w:t>
      </w:r>
    </w:p>
    <w:p>
      <w:pPr>
        <w:pStyle w:val="LOnormal"/>
        <w:spacing w:lineRule="auto" w:line="276" w:before="240" w:after="120"/>
        <w:ind w:hanging="0"/>
        <w:rPr/>
      </w:pPr>
      <w:r>
        <w:rPr/>
        <w:t>•</w:t>
      </w:r>
      <w:r>
        <w:rPr/>
        <w:tab/>
        <w:t>Second bullet;</w:t>
      </w:r>
    </w:p>
    <w:p>
      <w:pPr>
        <w:pStyle w:val="LOnormal"/>
        <w:spacing w:lineRule="auto" w:line="276" w:before="240" w:after="120"/>
        <w:ind w:hanging="0"/>
        <w:rPr/>
      </w:pPr>
      <w:r>
        <w:rPr/>
        <w:t>•</w:t>
      </w:r>
      <w:r>
        <w:rPr/>
        <w:tab/>
        <w:t>Third bullet.</w:t>
      </w:r>
    </w:p>
    <w:p>
      <w:pPr>
        <w:pStyle w:val="LOnormal"/>
        <w:spacing w:lineRule="auto" w:line="276" w:before="240" w:after="120"/>
        <w:ind w:hanging="0"/>
        <w:rPr>
          <w:b/>
          <w:b/>
        </w:rPr>
      </w:pPr>
      <w:r>
        <w:rPr>
          <w:b/>
        </w:rPr>
        <w:t xml:space="preserve">3.2 </w:t>
      </w:r>
      <w:bookmarkStart w:id="2" w:name="bookmark=id.2et92p0"/>
      <w:bookmarkStart w:id="3" w:name="bookmark=id.3znysh7"/>
      <w:bookmarkStart w:id="4" w:name="bookmark=id.tyjcwt"/>
      <w:bookmarkEnd w:id="2"/>
      <w:bookmarkEnd w:id="3"/>
      <w:bookmarkEnd w:id="4"/>
      <w:r>
        <w:rPr>
          <w:b/>
        </w:rPr>
        <w:t>Equations</w:t>
      </w:r>
    </w:p>
    <w:p>
      <w:pPr>
        <w:pStyle w:val="LOnormal"/>
        <w:spacing w:lineRule="auto" w:line="276"/>
        <w:rPr/>
      </w:pPr>
      <w:r>
        <w:rPr/>
        <w:t xml:space="preserve">If you want to insert equations, please use the button Equation in the toolbars. Detailed operations are as follows. Press the Tab key, then insert the equation, which will be centered. To insert the equation number, press Tab again. Number the equations consecutively. For example, </w:t>
      </w:r>
    </w:p>
    <w:p>
      <w:pPr>
        <w:pStyle w:val="LOnormal"/>
        <w:tabs>
          <w:tab w:val="clear" w:pos="709"/>
          <w:tab w:val="center" w:pos="3204" w:leader="none"/>
          <w:tab w:val="right" w:pos="6634" w:leader="none"/>
        </w:tabs>
        <w:spacing w:lineRule="auto" w:line="276" w:before="240" w:after="240"/>
        <w:ind w:hanging="0"/>
        <w:jc w:val="right"/>
        <w:rPr>
          <w:b/>
          <w:b/>
          <w:color w:val="000000"/>
        </w:rPr>
      </w:pPr>
      <w:r>
        <w:rPr/>
      </w:r>
      <m:oMath xmlns:m="http://schemas.openxmlformats.org/officeDocument/2006/math">
        <m:r>
          <w:rPr>
            <w:rFonts w:ascii="Cambria Math" w:hAnsi="Cambria Math"/>
          </w:rPr>
          <m:t xml:space="preserve">C</m:t>
        </m:r>
        <m:r>
          <w:rPr>
            <w:rFonts w:ascii="Cambria Math" w:hAnsi="Cambria Math"/>
          </w:rPr>
          <m:t xml:space="preserve">=</m:t>
        </m:r>
      </m:oMath>
      <w:r>
        <w:rPr>
          <w:b/>
          <w:color w:val="000000"/>
        </w:rPr>
        <w:t>,</w:t>
        <w:tab/>
        <w:tab/>
        <w:t>(1)</w:t>
      </w:r>
    </w:p>
    <w:p>
      <w:pPr>
        <w:pStyle w:val="LOnormal"/>
        <w:spacing w:lineRule="auto" w:line="276"/>
        <w:ind w:hanging="0"/>
        <w:rPr/>
      </w:pPr>
      <w:r>
        <w:rPr/>
        <w:t>the text following an equation need not be a new paragraph. Please punctuate equations as regular text.</w:t>
      </w:r>
    </w:p>
    <w:p>
      <w:pPr>
        <w:pStyle w:val="LOnormal"/>
        <w:spacing w:lineRule="auto" w:line="276" w:before="240" w:after="200"/>
        <w:ind w:hanging="0"/>
        <w:rPr>
          <w:b/>
          <w:b/>
        </w:rPr>
      </w:pPr>
      <w:r>
        <w:rPr>
          <w:b/>
        </w:rPr>
        <w:t>3.3 Tables and Figures</w:t>
      </w:r>
    </w:p>
    <w:p>
      <w:pPr>
        <w:pStyle w:val="LOnormal"/>
        <w:spacing w:lineRule="auto" w:line="276" w:before="240" w:after="120"/>
        <w:ind w:firstLine="288"/>
        <w:rPr/>
      </w:pPr>
      <w:r>
        <w:rPr/>
        <w:t>All tables and figures are to be numbered using Arabic numerals, and they should always be cited in text in consecutive numerical order. All tables and figures should be placed in the main text near to the first time they are cited.</w:t>
      </w:r>
    </w:p>
    <w:p>
      <w:pPr>
        <w:pStyle w:val="LOnormal"/>
        <w:keepNext w:val="true"/>
        <w:keepLines/>
        <w:spacing w:lineRule="auto" w:line="276" w:before="240" w:after="120"/>
        <w:ind w:hanging="0"/>
        <w:jc w:val="center"/>
        <w:rPr>
          <w:color w:val="000000"/>
          <w:sz w:val="17"/>
          <w:szCs w:val="17"/>
        </w:rPr>
      </w:pPr>
      <w:r>
        <w:rPr>
          <w:b/>
          <w:color w:val="000000"/>
          <w:sz w:val="17"/>
          <w:szCs w:val="17"/>
        </w:rPr>
        <w:t xml:space="preserve">Table 1 </w:t>
      </w:r>
      <w:r>
        <w:rPr>
          <w:color w:val="000000"/>
          <w:sz w:val="17"/>
          <w:szCs w:val="17"/>
        </w:rPr>
        <w:t>For each table, please supply a table caption (title) explaining the components of the table. Identify any previously published material by giving the original source in the form of a reference at the end of the table caption.</w:t>
      </w:r>
    </w:p>
    <w:tbl>
      <w:tblPr>
        <w:tblW w:w="4907"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3209"/>
        <w:gridCol w:w="1697"/>
      </w:tblGrid>
      <w:tr>
        <w:trPr>
          <w:trHeight w:val="291" w:hRule="atLeast"/>
        </w:trPr>
        <w:tc>
          <w:tcPr>
            <w:tcW w:w="3209" w:type="dxa"/>
            <w:tcBorders>
              <w:top w:val="single" w:sz="12" w:space="0" w:color="808080"/>
              <w:bottom w:val="single" w:sz="6" w:space="0" w:color="808080"/>
            </w:tcBorders>
            <w:shd w:color="auto" w:fill="auto" w:val="clear"/>
          </w:tcPr>
          <w:p>
            <w:pPr>
              <w:pStyle w:val="LOnormal"/>
              <w:widowControl w:val="false"/>
              <w:spacing w:lineRule="auto" w:line="276" w:before="60" w:after="200"/>
              <w:ind w:hanging="0"/>
              <w:jc w:val="left"/>
              <w:rPr>
                <w:color w:val="000000"/>
                <w:sz w:val="17"/>
                <w:szCs w:val="17"/>
              </w:rPr>
            </w:pPr>
            <w:r>
              <w:rPr>
                <w:color w:val="000000"/>
                <w:sz w:val="17"/>
                <w:szCs w:val="17"/>
              </w:rPr>
              <w:t>Parameters</w:t>
            </w:r>
          </w:p>
        </w:tc>
        <w:tc>
          <w:tcPr>
            <w:tcW w:w="1697" w:type="dxa"/>
            <w:tcBorders>
              <w:top w:val="single" w:sz="12" w:space="0" w:color="808080"/>
              <w:bottom w:val="single" w:sz="6" w:space="0" w:color="808080"/>
            </w:tcBorders>
            <w:shd w:color="auto" w:fill="auto" w:val="clear"/>
          </w:tcPr>
          <w:p>
            <w:pPr>
              <w:pStyle w:val="LOnormal"/>
              <w:widowControl w:val="false"/>
              <w:spacing w:lineRule="auto" w:line="276" w:before="60" w:after="200"/>
              <w:ind w:hanging="0"/>
              <w:jc w:val="left"/>
              <w:rPr>
                <w:color w:val="000000"/>
                <w:sz w:val="17"/>
                <w:szCs w:val="17"/>
              </w:rPr>
            </w:pPr>
            <w:r>
              <w:rPr>
                <w:color w:val="000000"/>
                <w:sz w:val="17"/>
                <w:szCs w:val="17"/>
              </w:rPr>
              <w:t>Value</w:t>
            </w:r>
          </w:p>
        </w:tc>
      </w:tr>
      <w:tr>
        <w:trPr>
          <w:trHeight w:val="299" w:hRule="atLeast"/>
        </w:trPr>
        <w:tc>
          <w:tcPr>
            <w:tcW w:w="3209" w:type="dxa"/>
            <w:tcBorders>
              <w:top w:val="single" w:sz="6" w:space="0" w:color="808080"/>
            </w:tcBorders>
            <w:shd w:color="auto" w:fill="auto" w:val="clear"/>
          </w:tcPr>
          <w:p>
            <w:pPr>
              <w:pStyle w:val="LOnormal"/>
              <w:widowControl w:val="false"/>
              <w:spacing w:lineRule="auto" w:line="276" w:before="60" w:after="200"/>
              <w:ind w:hanging="0"/>
              <w:jc w:val="left"/>
              <w:rPr>
                <w:color w:val="000000"/>
                <w:sz w:val="17"/>
                <w:szCs w:val="17"/>
              </w:rPr>
            </w:pPr>
            <w:r>
              <w:rPr>
                <w:color w:val="000000"/>
                <w:sz w:val="17"/>
                <w:szCs w:val="17"/>
              </w:rPr>
              <w:t>Parameter 1</w:t>
            </w:r>
          </w:p>
        </w:tc>
        <w:tc>
          <w:tcPr>
            <w:tcW w:w="1697" w:type="dxa"/>
            <w:tcBorders>
              <w:top w:val="single" w:sz="6" w:space="0" w:color="808080"/>
            </w:tcBorders>
            <w:shd w:color="auto" w:fill="auto" w:val="clear"/>
          </w:tcPr>
          <w:p>
            <w:pPr>
              <w:pStyle w:val="LOnormal"/>
              <w:widowControl w:val="false"/>
              <w:spacing w:lineRule="auto" w:line="276" w:before="60" w:after="200"/>
              <w:ind w:hanging="0"/>
              <w:jc w:val="left"/>
              <w:rPr>
                <w:color w:val="000000"/>
                <w:sz w:val="17"/>
                <w:szCs w:val="17"/>
              </w:rPr>
            </w:pPr>
            <w:r>
              <w:rPr>
                <w:color w:val="000000"/>
                <w:sz w:val="17"/>
                <w:szCs w:val="17"/>
              </w:rPr>
              <w:t>0.4</w:t>
            </w:r>
          </w:p>
        </w:tc>
      </w:tr>
      <w:tr>
        <w:trPr>
          <w:trHeight w:val="291" w:hRule="atLeast"/>
        </w:trPr>
        <w:tc>
          <w:tcPr>
            <w:tcW w:w="3209" w:type="dxa"/>
            <w:tcBorders/>
            <w:shd w:color="auto" w:fill="auto" w:val="clear"/>
          </w:tcPr>
          <w:p>
            <w:pPr>
              <w:pStyle w:val="LOnormal"/>
              <w:widowControl w:val="false"/>
              <w:spacing w:lineRule="auto" w:line="276" w:before="60" w:after="200"/>
              <w:ind w:hanging="0"/>
              <w:jc w:val="left"/>
              <w:rPr>
                <w:color w:val="000000"/>
                <w:sz w:val="17"/>
                <w:szCs w:val="17"/>
              </w:rPr>
            </w:pPr>
            <w:r>
              <w:rPr>
                <w:color w:val="000000"/>
                <w:sz w:val="17"/>
                <w:szCs w:val="17"/>
              </w:rPr>
              <w:t>Parameter 2</w:t>
            </w:r>
          </w:p>
        </w:tc>
        <w:tc>
          <w:tcPr>
            <w:tcW w:w="1697" w:type="dxa"/>
            <w:tcBorders/>
            <w:shd w:color="auto" w:fill="auto" w:val="clear"/>
          </w:tcPr>
          <w:p>
            <w:pPr>
              <w:pStyle w:val="LOnormal"/>
              <w:widowControl w:val="false"/>
              <w:spacing w:lineRule="auto" w:line="276" w:before="60" w:after="200"/>
              <w:ind w:hanging="0"/>
              <w:jc w:val="left"/>
              <w:rPr>
                <w:color w:val="000000"/>
                <w:sz w:val="17"/>
                <w:szCs w:val="17"/>
              </w:rPr>
            </w:pPr>
            <w:r>
              <w:rPr>
                <w:color w:val="000000"/>
                <w:sz w:val="17"/>
                <w:szCs w:val="17"/>
              </w:rPr>
              <w:t>0.45</w:t>
            </w:r>
          </w:p>
        </w:tc>
      </w:tr>
      <w:tr>
        <w:trPr>
          <w:trHeight w:val="299" w:hRule="atLeast"/>
        </w:trPr>
        <w:tc>
          <w:tcPr>
            <w:tcW w:w="3209" w:type="dxa"/>
            <w:tcBorders/>
            <w:shd w:color="auto" w:fill="auto" w:val="clear"/>
          </w:tcPr>
          <w:p>
            <w:pPr>
              <w:pStyle w:val="LOnormal"/>
              <w:widowControl w:val="false"/>
              <w:spacing w:lineRule="auto" w:line="276" w:before="60" w:after="200"/>
              <w:ind w:hanging="0"/>
              <w:jc w:val="left"/>
              <w:rPr>
                <w:color w:val="000000"/>
                <w:sz w:val="17"/>
                <w:szCs w:val="17"/>
              </w:rPr>
            </w:pPr>
            <w:r>
              <w:rPr>
                <w:color w:val="000000"/>
                <w:sz w:val="17"/>
                <w:szCs w:val="17"/>
              </w:rPr>
              <w:t>Parameter 3</w:t>
            </w:r>
          </w:p>
        </w:tc>
        <w:tc>
          <w:tcPr>
            <w:tcW w:w="1697" w:type="dxa"/>
            <w:tcBorders/>
            <w:shd w:color="auto" w:fill="auto" w:val="clear"/>
          </w:tcPr>
          <w:p>
            <w:pPr>
              <w:pStyle w:val="LOnormal"/>
              <w:widowControl w:val="false"/>
              <w:spacing w:lineRule="auto" w:line="276" w:before="60" w:after="200"/>
              <w:ind w:hanging="0"/>
              <w:jc w:val="left"/>
              <w:rPr>
                <w:color w:val="000000"/>
                <w:sz w:val="17"/>
                <w:szCs w:val="17"/>
              </w:rPr>
            </w:pPr>
            <w:r>
              <w:rPr>
                <w:color w:val="000000"/>
                <w:sz w:val="17"/>
                <w:szCs w:val="17"/>
              </w:rPr>
              <w:t>5</w:t>
            </w:r>
          </w:p>
        </w:tc>
      </w:tr>
      <w:tr>
        <w:trPr>
          <w:trHeight w:val="291" w:hRule="atLeast"/>
        </w:trPr>
        <w:tc>
          <w:tcPr>
            <w:tcW w:w="3209" w:type="dxa"/>
            <w:tcBorders>
              <w:bottom w:val="single" w:sz="12" w:space="0" w:color="808080"/>
            </w:tcBorders>
            <w:shd w:color="auto" w:fill="auto" w:val="clear"/>
          </w:tcPr>
          <w:p>
            <w:pPr>
              <w:pStyle w:val="LOnormal"/>
              <w:widowControl w:val="false"/>
              <w:spacing w:lineRule="auto" w:line="276" w:before="60" w:after="200"/>
              <w:ind w:hanging="0"/>
              <w:jc w:val="left"/>
              <w:rPr>
                <w:color w:val="000000"/>
                <w:sz w:val="17"/>
                <w:szCs w:val="17"/>
              </w:rPr>
            </w:pPr>
            <w:r>
              <w:rPr>
                <w:color w:val="000000"/>
                <w:sz w:val="17"/>
                <w:szCs w:val="17"/>
              </w:rPr>
              <w:t>Parameter 4</w:t>
            </w:r>
          </w:p>
        </w:tc>
        <w:tc>
          <w:tcPr>
            <w:tcW w:w="1697" w:type="dxa"/>
            <w:tcBorders>
              <w:bottom w:val="single" w:sz="12" w:space="0" w:color="808080"/>
            </w:tcBorders>
            <w:shd w:color="auto" w:fill="auto" w:val="clear"/>
          </w:tcPr>
          <w:p>
            <w:pPr>
              <w:pStyle w:val="LOnormal"/>
              <w:widowControl w:val="false"/>
              <w:spacing w:lineRule="auto" w:line="276" w:before="60" w:after="200"/>
              <w:ind w:hanging="0"/>
              <w:jc w:val="left"/>
              <w:rPr>
                <w:color w:val="000000"/>
                <w:sz w:val="17"/>
                <w:szCs w:val="17"/>
              </w:rPr>
            </w:pPr>
            <w:r>
              <w:rPr>
                <w:color w:val="000000"/>
                <w:sz w:val="17"/>
                <w:szCs w:val="17"/>
              </w:rPr>
              <w:t>2</w:t>
            </w:r>
          </w:p>
        </w:tc>
      </w:tr>
    </w:tbl>
    <w:p>
      <w:pPr>
        <w:pStyle w:val="LOnormal"/>
        <w:spacing w:lineRule="auto" w:line="276"/>
        <w:ind w:hanging="2608"/>
        <w:rPr>
          <w:color w:val="000000"/>
          <w:sz w:val="18"/>
          <w:szCs w:val="18"/>
          <w:vertAlign w:val="superscript"/>
        </w:rPr>
      </w:pPr>
      <w:r>
        <w:rPr>
          <w:color w:val="000000"/>
          <w:sz w:val="18"/>
          <w:szCs w:val="18"/>
          <w:vertAlign w:val="superscript"/>
        </w:rPr>
      </w:r>
    </w:p>
    <w:p>
      <w:pPr>
        <w:pStyle w:val="LOnormal"/>
        <w:spacing w:lineRule="auto" w:line="276"/>
        <w:jc w:val="center"/>
        <w:rPr/>
      </w:pPr>
      <w:r>
        <w:rPr/>
        <w:drawing>
          <wp:inline distT="0" distB="0" distL="0" distR="0">
            <wp:extent cx="3023870" cy="2124075"/>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3"/>
                    <a:stretch>
                      <a:fillRect/>
                    </a:stretch>
                  </pic:blipFill>
                  <pic:spPr bwMode="auto">
                    <a:xfrm>
                      <a:off x="0" y="0"/>
                      <a:ext cx="3023870" cy="2124075"/>
                    </a:xfrm>
                    <a:prstGeom prst="rect">
                      <a:avLst/>
                    </a:prstGeom>
                    <a:ln w="6350">
                      <a:solidFill>
                        <a:srgbClr val="000000"/>
                      </a:solidFill>
                    </a:ln>
                  </pic:spPr>
                </pic:pic>
              </a:graphicData>
            </a:graphic>
          </wp:inline>
        </w:drawing>
      </w:r>
    </w:p>
    <w:p>
      <w:pPr>
        <w:pStyle w:val="LOnormal"/>
        <w:keepLines/>
        <w:spacing w:lineRule="auto" w:line="276" w:before="120" w:after="240"/>
        <w:ind w:hanging="0"/>
        <w:jc w:val="center"/>
        <w:rPr>
          <w:color w:val="000000"/>
        </w:rPr>
      </w:pPr>
      <w:r>
        <w:rPr>
          <w:b/>
          <w:color w:val="000000"/>
        </w:rPr>
        <w:t xml:space="preserve">Fig. 1 </w:t>
      </w:r>
      <w:r>
        <w:rPr>
          <w:color w:val="000000"/>
        </w:rPr>
        <w:t>Each figure should have a concise caption describing accurately what the figure depicts.</w:t>
      </w:r>
    </w:p>
    <w:p>
      <w:pPr>
        <w:pStyle w:val="LOnormal"/>
        <w:spacing w:lineRule="auto" w:line="276"/>
        <w:rPr/>
      </w:pPr>
      <w:r>
        <w:rPr/>
        <w:t>Figure captions begin with the term Fig. in bold type, followed by the figure number, also in bold type. No punctuation is to be included after the number, nor is any punctuation to be placed at the end of the caption. Figure parts should be denoted by lowercase letters (a, b, c, etc.). Identify previously published material by giving the original source in the form of a reference citation at the end of the figure caption. If you include figures that have already been published elsewhere, you must obtain permission from the copyright owner(s) for both the print and online format. Please be aware that some publishers do not grant electronic rights for free and that Springer will not be able to refund any costs that may have occurred to receive these permissions. In such cases, material from other sources should be used.</w:t>
      </w:r>
    </w:p>
    <w:p>
      <w:pPr>
        <w:pStyle w:val="LOnormal"/>
        <w:spacing w:lineRule="auto" w:line="276"/>
        <w:rPr/>
      </w:pPr>
      <w:r>
        <w:rPr/>
        <w:t>If an appendix appears in your article and it contains one or more figures, continue the consecutive numbering of the main text. Do not number the appendix figures,"A1, A2, A3, etc." Figures in online appendices [Supplementary Information (SI)] should, however, be numbered separately.</w:t>
      </w:r>
    </w:p>
    <w:p>
      <w:pPr>
        <w:pStyle w:val="LOnormal"/>
        <w:spacing w:lineRule="auto" w:line="276"/>
        <w:rPr/>
      </w:pPr>
      <w:r>
        <w:rPr/>
        <w:t>When preparing your figures, the figures should be 84 mm wide and not higher than 234 mm.</w:t>
      </w:r>
      <w:bookmarkStart w:id="5" w:name="bookmark=id.1t3h5sf"/>
      <w:bookmarkEnd w:id="5"/>
    </w:p>
    <w:p>
      <w:pPr>
        <w:pStyle w:val="LOnormal"/>
        <w:spacing w:lineRule="auto" w:line="276" w:before="240" w:after="200"/>
        <w:ind w:hanging="0"/>
        <w:rPr>
          <w:b/>
          <w:b/>
        </w:rPr>
      </w:pPr>
      <w:r>
        <w:rPr>
          <w:b/>
        </w:rPr>
        <w:t xml:space="preserve">4 </w:t>
      </w:r>
      <w:bookmarkStart w:id="6" w:name="bookmark=id.4d34og8"/>
      <w:bookmarkEnd w:id="6"/>
      <w:r>
        <w:rPr>
          <w:b/>
        </w:rPr>
        <w:t>Discussion and Conclusions</w:t>
      </w:r>
    </w:p>
    <w:p>
      <w:pPr>
        <w:pStyle w:val="LOnormal"/>
        <w:spacing w:lineRule="auto" w:line="276" w:before="240" w:after="200"/>
        <w:ind w:hanging="0"/>
        <w:rPr/>
      </w:pPr>
      <w:r>
        <w:rPr/>
        <w:t xml:space="preserve">Or </w:t>
      </w:r>
    </w:p>
    <w:p>
      <w:pPr>
        <w:pStyle w:val="LOnormal"/>
        <w:spacing w:lineRule="auto" w:line="276" w:before="240" w:after="200"/>
        <w:ind w:hanging="0"/>
        <w:rPr/>
      </w:pPr>
      <w:r>
        <w:rPr>
          <w:b/>
        </w:rPr>
        <w:t>4 Discussion</w:t>
      </w:r>
    </w:p>
    <w:p>
      <w:pPr>
        <w:pStyle w:val="LOnormal"/>
        <w:spacing w:lineRule="auto" w:line="276" w:before="240" w:after="120"/>
        <w:ind w:hanging="0"/>
        <w:rPr>
          <w:b/>
          <w:b/>
        </w:rPr>
      </w:pPr>
      <w:r>
        <w:rPr>
          <w:b/>
        </w:rPr>
        <w:t>5 Conclusion</w:t>
      </w:r>
    </w:p>
    <w:p>
      <w:pPr>
        <w:pStyle w:val="LOnormal"/>
        <w:spacing w:lineRule="auto" w:line="276" w:before="240" w:after="120"/>
        <w:ind w:hanging="0"/>
        <w:rPr/>
      </w:pPr>
      <w:r>
        <w:rPr/>
        <w:t xml:space="preserve">Your Discussion and Conclusions sections should answer the question: What do your results mean? </w:t>
      </w:r>
    </w:p>
    <w:p>
      <w:pPr>
        <w:pStyle w:val="LOnormal"/>
        <w:spacing w:lineRule="auto" w:line="276" w:before="240" w:after="120"/>
        <w:ind w:hanging="0"/>
        <w:rPr/>
      </w:pPr>
      <w:r>
        <w:rPr/>
        <w:t xml:space="preserve">In other words, the majority of the Discussion and Conclusions sections should be interpretation of your results. You should: </w:t>
      </w:r>
    </w:p>
    <w:p>
      <w:pPr>
        <w:pStyle w:val="LOnormal"/>
        <w:numPr>
          <w:ilvl w:val="0"/>
          <w:numId w:val="4"/>
        </w:numPr>
        <w:spacing w:lineRule="auto" w:line="276" w:before="240" w:after="200"/>
        <w:rPr>
          <w:color w:val="000000"/>
        </w:rPr>
      </w:pPr>
      <w:r>
        <w:rPr>
          <w:color w:val="000000"/>
        </w:rPr>
        <w:t>Discuss your conclusions in order of most to least important.</w:t>
      </w:r>
    </w:p>
    <w:p>
      <w:pPr>
        <w:pStyle w:val="LOnormal"/>
        <w:numPr>
          <w:ilvl w:val="0"/>
          <w:numId w:val="4"/>
        </w:numPr>
        <w:spacing w:lineRule="auto" w:line="276"/>
        <w:rPr>
          <w:color w:val="000000"/>
        </w:rPr>
      </w:pPr>
      <w:r>
        <w:rPr>
          <w:color w:val="000000"/>
        </w:rPr>
        <w:t>Compare your results with those from other studies: Are they consistent? If not, discuss possible reasons for the difference.</w:t>
      </w:r>
    </w:p>
    <w:p>
      <w:pPr>
        <w:pStyle w:val="LOnormal"/>
        <w:numPr>
          <w:ilvl w:val="0"/>
          <w:numId w:val="4"/>
        </w:numPr>
        <w:spacing w:lineRule="auto" w:line="276"/>
        <w:rPr>
          <w:color w:val="000000"/>
        </w:rPr>
      </w:pPr>
      <w:r>
        <w:rPr>
          <w:color w:val="000000"/>
        </w:rPr>
        <w:t>Mention any inconclusive results and explain them as best you can. You may suggest additional experiments needed to clarify your results.</w:t>
      </w:r>
    </w:p>
    <w:p>
      <w:pPr>
        <w:pStyle w:val="LOnormal"/>
        <w:numPr>
          <w:ilvl w:val="0"/>
          <w:numId w:val="4"/>
        </w:numPr>
        <w:spacing w:lineRule="auto" w:line="276"/>
        <w:rPr>
          <w:color w:val="000000"/>
        </w:rPr>
      </w:pPr>
      <w:r>
        <w:rPr>
          <w:color w:val="000000"/>
        </w:rPr>
        <w:t xml:space="preserve">Briefly describe the limitations of your study to show reviewers and readers that you have considered your experiment’s weaknesses. Many researchers are hesitant to do this as they feel it highlights the weaknesses in their research to the editor and reviewer. However, doing this actually makes a positive impression of your paper as it makes it clear that you have an </w:t>
      </w:r>
      <w:r>
        <w:rPr/>
        <w:t>in-depth</w:t>
      </w:r>
      <w:r>
        <w:rPr>
          <w:color w:val="000000"/>
        </w:rPr>
        <w:t xml:space="preserve"> understanding of your topic and can think objectively of your research.</w:t>
      </w:r>
    </w:p>
    <w:p>
      <w:pPr>
        <w:pStyle w:val="LOnormal"/>
        <w:numPr>
          <w:ilvl w:val="0"/>
          <w:numId w:val="4"/>
        </w:numPr>
        <w:spacing w:lineRule="auto" w:line="276"/>
        <w:rPr>
          <w:color w:val="000000"/>
        </w:rPr>
      </w:pPr>
      <w:r>
        <w:rPr>
          <w:color w:val="000000"/>
        </w:rPr>
        <w:t>Discuss what your results may mean for researchers in the same field as you, researchers in other fields, and the general public. How could your findings be applied?</w:t>
      </w:r>
    </w:p>
    <w:p>
      <w:pPr>
        <w:pStyle w:val="LOnormal"/>
        <w:numPr>
          <w:ilvl w:val="0"/>
          <w:numId w:val="4"/>
        </w:numPr>
        <w:spacing w:lineRule="auto" w:line="276"/>
        <w:rPr>
          <w:color w:val="000000"/>
        </w:rPr>
      </w:pPr>
      <w:r>
        <w:rPr>
          <w:color w:val="000000"/>
        </w:rPr>
        <w:t>State how your results extend the findings of previous studies.</w:t>
      </w:r>
    </w:p>
    <w:p>
      <w:pPr>
        <w:pStyle w:val="LOnormal"/>
        <w:numPr>
          <w:ilvl w:val="0"/>
          <w:numId w:val="4"/>
        </w:numPr>
        <w:spacing w:lineRule="auto" w:line="276" w:before="120" w:after="120"/>
        <w:rPr>
          <w:color w:val="000000"/>
        </w:rPr>
      </w:pPr>
      <w:r>
        <w:rPr>
          <w:color w:val="000000"/>
        </w:rPr>
        <w:t>If your findings are preliminary, suggest future studies that need to be carried out.</w:t>
      </w:r>
      <w:bookmarkStart w:id="7" w:name="bookmark=id.2s8eyo1"/>
      <w:bookmarkEnd w:id="7"/>
    </w:p>
    <w:p>
      <w:pPr>
        <w:pStyle w:val="LOnormal"/>
        <w:spacing w:lineRule="auto" w:line="276" w:before="240" w:after="120"/>
        <w:ind w:hanging="0"/>
        <w:rPr>
          <w:b/>
          <w:b/>
        </w:rPr>
      </w:pPr>
      <w:r>
        <w:rPr>
          <w:b/>
        </w:rPr>
        <w:t>Acknowledgements</w:t>
      </w:r>
    </w:p>
    <w:p>
      <w:pPr>
        <w:pStyle w:val="LOnormal"/>
        <w:spacing w:lineRule="auto" w:line="276"/>
        <w:ind w:firstLine="288"/>
        <w:rPr/>
      </w:pPr>
      <w:r>
        <w:rPr/>
        <w:t>In this section, you can acknowledge any support given which is not covered by the author contribution or funding sections. This may include administrative and technical support, or donations in kind (e.g., materials used for experiments).</w:t>
      </w:r>
      <w:bookmarkStart w:id="8" w:name="bookmark=id.17dp8vu"/>
      <w:bookmarkEnd w:id="8"/>
    </w:p>
    <w:p>
      <w:pPr>
        <w:pStyle w:val="LOnormal"/>
        <w:spacing w:lineRule="auto" w:line="276" w:before="240" w:after="120"/>
        <w:ind w:hanging="0"/>
        <w:rPr/>
      </w:pPr>
      <w:r>
        <w:rPr>
          <w:b/>
        </w:rPr>
        <w:t>References</w:t>
      </w:r>
    </w:p>
    <w:p>
      <w:pPr>
        <w:pStyle w:val="LOnormal"/>
        <w:spacing w:lineRule="auto" w:line="276" w:before="240" w:after="120"/>
        <w:ind w:hanging="0"/>
        <w:rPr/>
      </w:pPr>
      <w:r>
        <w:rPr/>
        <w:t>Reference citations in the text should be identified by numbers in square brackets. Some examples:</w:t>
      </w:r>
    </w:p>
    <w:p>
      <w:pPr>
        <w:pStyle w:val="LOnormal"/>
        <w:numPr>
          <w:ilvl w:val="0"/>
          <w:numId w:val="5"/>
        </w:numPr>
        <w:spacing w:lineRule="auto" w:line="276" w:before="120" w:after="0"/>
        <w:rPr>
          <w:color w:val="000000"/>
        </w:rPr>
      </w:pPr>
      <w:r>
        <w:rPr>
          <w:color w:val="000000"/>
        </w:rPr>
        <w:t>Negotiation research spans many disciplines [3].</w:t>
      </w:r>
    </w:p>
    <w:p>
      <w:pPr>
        <w:pStyle w:val="LOnormal"/>
        <w:numPr>
          <w:ilvl w:val="0"/>
          <w:numId w:val="5"/>
        </w:numPr>
        <w:spacing w:lineRule="auto" w:line="276" w:before="0" w:after="0"/>
        <w:rPr>
          <w:color w:val="000000"/>
        </w:rPr>
      </w:pPr>
      <w:r>
        <w:rPr>
          <w:color w:val="000000"/>
        </w:rPr>
        <w:t>This result was later contradicted by Becker and Seligman [5].</w:t>
      </w:r>
    </w:p>
    <w:p>
      <w:pPr>
        <w:pStyle w:val="LOnormal"/>
        <w:numPr>
          <w:ilvl w:val="0"/>
          <w:numId w:val="5"/>
        </w:numPr>
        <w:spacing w:lineRule="auto" w:line="276" w:before="0" w:after="200"/>
        <w:rPr>
          <w:color w:val="000000"/>
        </w:rPr>
      </w:pPr>
      <w:r>
        <w:rPr>
          <w:color w:val="000000"/>
        </w:rPr>
        <w:t>This effect has been widely studied [1-3, 7].</w:t>
      </w:r>
    </w:p>
    <w:p>
      <w:pPr>
        <w:pStyle w:val="LOnormal"/>
        <w:spacing w:lineRule="auto" w:line="276"/>
        <w:ind w:hanging="0"/>
        <w:rPr/>
      </w:pPr>
      <w:r>
        <w:rPr/>
        <w:t>The list of references should only include works that are cited in the text and that have been published or accepted for publication. The entries in the list should be numbered consecutively. Journal names and book titles should be italicized. If available, please always include DOIs as full DOI links in your reference list (e.g. “https://doi.org/abc”).</w:t>
      </w:r>
    </w:p>
    <w:p>
      <w:pPr>
        <w:pStyle w:val="LOnormal"/>
        <w:spacing w:lineRule="auto" w:line="276"/>
        <w:ind w:hanging="0"/>
        <w:rPr/>
      </w:pPr>
      <w:r>
        <w:rPr/>
        <w:t xml:space="preserve">Authors are encouraged to follow official </w:t>
      </w:r>
      <w:r>
        <w:rPr>
          <w:b/>
        </w:rPr>
        <w:t xml:space="preserve">APA version 7 </w:t>
      </w:r>
      <w:r>
        <w:rPr/>
        <w:t>guidelines on the number of authors included in reference list entries (i.e., include all authors up to 20; for larger groups, give the first 19 names followed by an ellipsis and the final author’s name). However, if authors shorten the author group by using et al., this will be retained.</w:t>
      </w:r>
    </w:p>
    <w:p>
      <w:pPr>
        <w:pStyle w:val="LOnormal"/>
        <w:numPr>
          <w:ilvl w:val="0"/>
          <w:numId w:val="6"/>
        </w:numPr>
        <w:shd w:val="clear" w:color="auto" w:fill="FCFCFC"/>
        <w:spacing w:lineRule="auto" w:line="276" w:before="280" w:after="280"/>
        <w:jc w:val="left"/>
        <w:rPr>
          <w:b/>
          <w:b/>
          <w:color w:val="333333"/>
        </w:rPr>
      </w:pPr>
      <w:r>
        <w:rPr>
          <w:b/>
          <w:color w:val="333333"/>
        </w:rPr>
        <w:t>Journal article</w:t>
      </w:r>
    </w:p>
    <w:p>
      <w:pPr>
        <w:pStyle w:val="LOnormal"/>
        <w:shd w:val="clear" w:color="auto" w:fill="FCFCFC"/>
        <w:spacing w:lineRule="auto" w:line="276"/>
        <w:ind w:left="360" w:hanging="0"/>
        <w:rPr>
          <w:color w:val="333333"/>
        </w:rPr>
      </w:pPr>
      <w:r>
        <w:rPr>
          <w:color w:val="333333"/>
        </w:rPr>
        <w:t>[1] Grady, J. S., Her, M., Moreno, G., Perez, C., &amp; Yelinek, J. (2019). Emotions in storybooks: A comparison of storybooks that represent ethnic and racial groups in the United States. </w:t>
      </w:r>
      <w:r>
        <w:rPr>
          <w:i/>
          <w:color w:val="333333"/>
        </w:rPr>
        <w:t>Psychology of Popular Media Culture, 8</w:t>
      </w:r>
      <w:r>
        <w:rPr>
          <w:color w:val="333333"/>
        </w:rPr>
        <w:t>(3), 207–217. https://doi.org/10.1037/ppm0000185</w:t>
      </w:r>
    </w:p>
    <w:p>
      <w:pPr>
        <w:pStyle w:val="LOnormal"/>
        <w:numPr>
          <w:ilvl w:val="0"/>
          <w:numId w:val="6"/>
        </w:numPr>
        <w:shd w:val="clear" w:color="auto" w:fill="FCFCFC"/>
        <w:spacing w:lineRule="auto" w:line="276" w:before="280" w:after="280"/>
        <w:jc w:val="left"/>
        <w:rPr>
          <w:b/>
          <w:b/>
          <w:color w:val="333333"/>
        </w:rPr>
      </w:pPr>
      <w:r>
        <w:rPr>
          <w:b/>
          <w:color w:val="333333"/>
        </w:rPr>
        <w:t>Article by DOI</w:t>
      </w:r>
    </w:p>
    <w:p>
      <w:pPr>
        <w:pStyle w:val="LOnormal"/>
        <w:shd w:val="clear" w:color="auto" w:fill="FCFCFC"/>
        <w:spacing w:lineRule="auto" w:line="276"/>
        <w:ind w:left="360" w:hanging="0"/>
        <w:rPr>
          <w:color w:val="333333"/>
        </w:rPr>
      </w:pPr>
      <w:r>
        <w:rPr>
          <w:color w:val="333333"/>
        </w:rPr>
        <w:t>[1] Hong, I., Knox, S., Pryor, L., Mroz, T. M., Graham, J., Shields, M. F., &amp; Reistetter, T. A. (2020). Is referral to home health rehabilitation following inpatient rehabilitation facility associated with 90-day hospital readmission for adult patients with stroke? </w:t>
      </w:r>
      <w:r>
        <w:rPr>
          <w:i/>
          <w:color w:val="333333"/>
        </w:rPr>
        <w:t>American Journal of Physical Medicine &amp; Rehabilitation</w:t>
      </w:r>
      <w:r>
        <w:rPr>
          <w:color w:val="333333"/>
        </w:rPr>
        <w:t>. Advance online publication. https://doi.org/10.1097/PHM.0000000000001435</w:t>
      </w:r>
    </w:p>
    <w:p>
      <w:pPr>
        <w:pStyle w:val="LOnormal"/>
        <w:numPr>
          <w:ilvl w:val="0"/>
          <w:numId w:val="6"/>
        </w:numPr>
        <w:shd w:val="clear" w:color="auto" w:fill="FCFCFC"/>
        <w:spacing w:lineRule="auto" w:line="276" w:before="280" w:after="280"/>
        <w:jc w:val="left"/>
        <w:rPr>
          <w:b/>
          <w:b/>
          <w:color w:val="333333"/>
        </w:rPr>
      </w:pPr>
      <w:r>
        <w:rPr>
          <w:b/>
          <w:color w:val="333333"/>
        </w:rPr>
        <w:t>Book</w:t>
      </w:r>
    </w:p>
    <w:p>
      <w:pPr>
        <w:pStyle w:val="LOnormal"/>
        <w:shd w:val="clear" w:color="auto" w:fill="FCFCFC"/>
        <w:spacing w:lineRule="auto" w:line="276"/>
        <w:rPr>
          <w:color w:val="333333"/>
        </w:rPr>
      </w:pPr>
      <w:r>
        <w:rPr>
          <w:color w:val="333333"/>
        </w:rPr>
        <w:t>[1] Sapolsky, R. M. (2017). </w:t>
      </w:r>
      <w:r>
        <w:rPr>
          <w:i/>
          <w:color w:val="333333"/>
        </w:rPr>
        <w:t>Behave: The biology of humans at our best and worst</w:t>
      </w:r>
      <w:r>
        <w:rPr>
          <w:color w:val="333333"/>
        </w:rPr>
        <w:t>. Penguin Books.</w:t>
      </w:r>
    </w:p>
    <w:p>
      <w:pPr>
        <w:pStyle w:val="LOnormal"/>
        <w:numPr>
          <w:ilvl w:val="0"/>
          <w:numId w:val="6"/>
        </w:numPr>
        <w:shd w:val="clear" w:color="auto" w:fill="FCFCFC"/>
        <w:spacing w:lineRule="auto" w:line="276" w:before="280" w:after="280"/>
        <w:jc w:val="left"/>
        <w:rPr>
          <w:b/>
          <w:b/>
          <w:color w:val="333333"/>
        </w:rPr>
      </w:pPr>
      <w:r>
        <w:rPr>
          <w:b/>
          <w:color w:val="333333"/>
        </w:rPr>
        <w:t>Book chapter</w:t>
      </w:r>
    </w:p>
    <w:p>
      <w:pPr>
        <w:pStyle w:val="LOnormal"/>
        <w:shd w:val="clear" w:color="auto" w:fill="FCFCFC"/>
        <w:spacing w:lineRule="auto" w:line="276"/>
        <w:ind w:left="284" w:hanging="0"/>
        <w:rPr>
          <w:color w:val="333333"/>
        </w:rPr>
      </w:pPr>
      <w:r>
        <w:rPr>
          <w:color w:val="333333"/>
        </w:rPr>
        <w:t>[1] Dillard, J. P. (2020). Currents in the study of persuasion. In M. B. Oliver, A. A. Raney, &amp; J. Bryant (Eds.), </w:t>
      </w:r>
      <w:r>
        <w:rPr>
          <w:i/>
          <w:color w:val="333333"/>
        </w:rPr>
        <w:t>Media effects: Advances in theory and research</w:t>
      </w:r>
      <w:r>
        <w:rPr>
          <w:color w:val="333333"/>
        </w:rPr>
        <w:t> (4th ed., pp. 115–129). Routledge.</w:t>
      </w:r>
    </w:p>
    <w:p>
      <w:pPr>
        <w:pStyle w:val="LOnormal"/>
        <w:numPr>
          <w:ilvl w:val="0"/>
          <w:numId w:val="6"/>
        </w:numPr>
        <w:shd w:val="clear" w:color="auto" w:fill="FCFCFC"/>
        <w:spacing w:lineRule="auto" w:line="276" w:before="280" w:after="280"/>
        <w:jc w:val="left"/>
        <w:rPr>
          <w:b/>
          <w:b/>
          <w:color w:val="333333"/>
        </w:rPr>
      </w:pPr>
      <w:r>
        <w:rPr>
          <w:b/>
          <w:color w:val="333333"/>
        </w:rPr>
        <w:t>Online document</w:t>
      </w:r>
    </w:p>
    <w:p>
      <w:pPr>
        <w:pStyle w:val="LOnormal"/>
        <w:shd w:val="clear" w:color="auto" w:fill="FCFCFC"/>
        <w:spacing w:lineRule="auto" w:line="276"/>
        <w:ind w:left="360" w:hanging="0"/>
        <w:rPr>
          <w:color w:val="333333"/>
        </w:rPr>
      </w:pPr>
      <w:r>
        <w:rPr>
          <w:color w:val="333333"/>
        </w:rPr>
        <w:t>[1] Fagan, J. (2019, March 25). </w:t>
      </w:r>
      <w:r>
        <w:rPr>
          <w:i/>
          <w:color w:val="333333"/>
        </w:rPr>
        <w:t>Nursing clinical brain</w:t>
      </w:r>
      <w:r>
        <w:rPr>
          <w:color w:val="333333"/>
        </w:rPr>
        <w:t xml:space="preserve">. OER Commons. Retrieved January 7, 2020, from </w:t>
      </w:r>
      <w:hyperlink r:id="rId4">
        <w:r>
          <w:rPr>
            <w:color w:val="0000FF"/>
            <w:u w:val="single"/>
          </w:rPr>
          <w:t>https://www.oercommons.org/authoring/53029-nursing-clinical-brain/view</w:t>
        </w:r>
      </w:hyperlink>
    </w:p>
    <w:p>
      <w:pPr>
        <w:pStyle w:val="LOnormal"/>
        <w:numPr>
          <w:ilvl w:val="0"/>
          <w:numId w:val="6"/>
        </w:numPr>
        <w:shd w:val="clear" w:color="auto" w:fill="FCFCFC"/>
        <w:spacing w:lineRule="auto" w:line="276" w:before="280" w:after="280"/>
        <w:jc w:val="left"/>
        <w:rPr>
          <w:b/>
          <w:b/>
          <w:color w:val="333333"/>
        </w:rPr>
      </w:pPr>
      <w:r>
        <w:rPr>
          <w:b/>
          <w:color w:val="333333"/>
        </w:rPr>
        <w:t xml:space="preserve">Conference paper </w:t>
      </w:r>
    </w:p>
    <w:p>
      <w:pPr>
        <w:pStyle w:val="LOnormal"/>
        <w:shd w:val="clear" w:color="auto" w:fill="FCFCFC"/>
        <w:spacing w:lineRule="auto" w:line="276" w:before="280" w:after="280"/>
        <w:rPr>
          <w:color w:val="333333"/>
          <w:u w:val="single"/>
        </w:rPr>
      </w:pPr>
      <w:r>
        <w:rPr>
          <w:color w:val="333333"/>
          <w:u w:val="single"/>
        </w:rPr>
        <w:t>Paper published in conference proceedings, book form:</w:t>
      </w:r>
    </w:p>
    <w:p>
      <w:pPr>
        <w:pStyle w:val="LOnormal"/>
        <w:shd w:val="clear" w:color="auto" w:fill="FCFCFC"/>
        <w:spacing w:lineRule="auto" w:line="276" w:before="280" w:after="280"/>
        <w:ind w:left="360" w:hanging="0"/>
        <w:rPr>
          <w:color w:val="333333"/>
        </w:rPr>
      </w:pPr>
      <w:r>
        <w:rPr>
          <w:color w:val="333333"/>
        </w:rPr>
        <w:t xml:space="preserve">[1] Author. (Date). Title of paper. In A. Editor &amp; B. Editor (Eds.), </w:t>
      </w:r>
      <w:r>
        <w:rPr>
          <w:i/>
          <w:color w:val="333333"/>
        </w:rPr>
        <w:t>Title of proceedings</w:t>
      </w:r>
      <w:r>
        <w:rPr>
          <w:color w:val="333333"/>
        </w:rPr>
        <w:t xml:space="preserve"> (page numbers). Publisher. DOI OR URL if relevant.</w:t>
      </w:r>
    </w:p>
    <w:p>
      <w:pPr>
        <w:pStyle w:val="LOnormal"/>
        <w:shd w:val="clear" w:color="auto" w:fill="FCFCFC"/>
        <w:spacing w:lineRule="auto" w:line="276" w:before="280" w:after="280"/>
        <w:ind w:left="360" w:hanging="0"/>
        <w:rPr>
          <w:color w:val="333333"/>
        </w:rPr>
      </w:pPr>
      <w:r>
        <w:rPr>
          <w:color w:val="333333"/>
        </w:rPr>
        <w:t>[1] S. C. (2010). Educating academic writing skills in engineering. In P. Dondon &amp; O. Martin (Eds.), </w:t>
      </w:r>
      <w:r>
        <w:rPr>
          <w:i/>
          <w:color w:val="333333"/>
        </w:rPr>
        <w:t>Latest trends on engineering education</w:t>
      </w:r>
      <w:r>
        <w:rPr>
          <w:color w:val="333333"/>
        </w:rPr>
        <w:t> (pp. 225-247). WSEAS Press.</w:t>
      </w:r>
    </w:p>
    <w:p>
      <w:pPr>
        <w:pStyle w:val="LOnormal"/>
        <w:shd w:val="clear" w:color="auto" w:fill="FCFCFC"/>
        <w:spacing w:lineRule="auto" w:line="276" w:before="280" w:after="280"/>
        <w:ind w:left="360" w:hanging="0"/>
        <w:rPr>
          <w:color w:val="333333"/>
        </w:rPr>
      </w:pPr>
      <w:r>
        <w:rPr>
          <w:color w:val="333333"/>
        </w:rPr>
        <w:t xml:space="preserve">[1] </w:t>
      </w:r>
      <w:r>
        <w:rPr/>
        <w:t>Morgan, R., Meldrum, K., Bryan, S., Mathiesen, B., Yakob, N., Esa, N., &amp; Ziden, A. A. (2017). Embedding digital literacies in curricula: Australian and Malaysian experiences. In G. B. Teh &amp; S. C. Choy (Eds.),</w:t>
      </w:r>
      <w:r>
        <w:rPr>
          <w:i/>
        </w:rPr>
        <w:t> Empowering 21st century learners through holistic and enterprising learning: Selected papers from Tunku Abdul Rahman University College International Conference 2016</w:t>
      </w:r>
      <w:r>
        <w:rPr/>
        <w:t> (pp. 11-19). Springer. </w:t>
      </w:r>
      <w:hyperlink r:id="rId5">
        <w:r>
          <w:rPr>
            <w:color w:val="2954D1"/>
            <w:u w:val="single"/>
          </w:rPr>
          <w:t>https://doi.org/10.1007/978-981-10-4241-6_2</w:t>
        </w:r>
      </w:hyperlink>
    </w:p>
    <w:p>
      <w:pPr>
        <w:pStyle w:val="LOnormal"/>
        <w:shd w:val="clear" w:color="auto" w:fill="FCFCFC"/>
        <w:spacing w:lineRule="auto" w:line="276" w:before="280" w:after="280"/>
        <w:rPr>
          <w:u w:val="single"/>
        </w:rPr>
      </w:pPr>
      <w:r>
        <w:rPr>
          <w:u w:val="single"/>
        </w:rPr>
        <w:t>Paper published in conference proceedings, journal form:</w:t>
      </w:r>
    </w:p>
    <w:p>
      <w:pPr>
        <w:pStyle w:val="LOnormal"/>
        <w:spacing w:lineRule="auto" w:line="276"/>
        <w:ind w:left="360" w:hanging="0"/>
        <w:rPr/>
      </w:pPr>
      <w:r>
        <w:rPr>
          <w:color w:val="333333"/>
        </w:rPr>
        <w:t xml:space="preserve">[1] </w:t>
      </w:r>
      <w:r>
        <w:rPr/>
        <w:t xml:space="preserve">Author, A. A., &amp; Author, B. B. (Date). Title of article: Subtitle. </w:t>
      </w:r>
      <w:r>
        <w:rPr>
          <w:i/>
        </w:rPr>
        <w:t>Title of Journal</w:t>
      </w:r>
      <w:r>
        <w:rPr/>
        <w:t xml:space="preserve">, volume number (issue number), page numbers of the whole article. </w:t>
      </w:r>
      <w:hyperlink r:id="rId6">
        <w:r>
          <w:rPr>
            <w:color w:val="0000FF"/>
            <w:u w:val="single"/>
          </w:rPr>
          <w:t>https://doi.org/xx.xxx/xxxx</w:t>
        </w:r>
      </w:hyperlink>
    </w:p>
    <w:p>
      <w:pPr>
        <w:pStyle w:val="Normal"/>
        <w:rPr>
          <w:rFonts w:ascii="Times" w:hAnsi="Times"/>
        </w:rPr>
      </w:pPr>
      <w:r>
        <w:rPr>
          <w:rFonts w:ascii="Times" w:hAnsi="Times"/>
          <w:color w:val="333333"/>
        </w:rPr>
        <w:t xml:space="preserve">[1] </w:t>
      </w:r>
      <w:r>
        <w:rPr>
          <w:rFonts w:ascii="Times" w:hAnsi="Times"/>
        </w:rPr>
        <w:t xml:space="preserve">Chaudhuri, S., &amp; Biswas, A. (2017). External terms-of-trade and labor market imperfections in developing countries: Theory and evidence. </w:t>
      </w:r>
      <w:r>
        <w:rPr>
          <w:rFonts w:ascii="Times" w:hAnsi="Times"/>
          <w:i/>
        </w:rPr>
        <w:t>Proceedings of the Academy of Economics and Economic Education</w:t>
      </w:r>
      <w:r>
        <w:rPr>
          <w:rFonts w:ascii="Times" w:hAnsi="Times"/>
        </w:rPr>
        <w:t>, 20(1), 11-16. https://search-proquest-com.elibrary.jcu.edu.au/docview/1928612180?accountid=16285</w:t>
      </w:r>
    </w:p>
    <w:sectPr>
      <w:headerReference w:type="even" r:id="rId7"/>
      <w:headerReference w:type="default" r:id="rId8"/>
      <w:headerReference w:type="first" r:id="rId9"/>
      <w:footerReference w:type="even" r:id="rId10"/>
      <w:footerReference w:type="default" r:id="rId11"/>
      <w:footerReference w:type="first" r:id="rId12"/>
      <w:type w:val="nextPage"/>
      <w:pgSz w:w="11906" w:h="16838"/>
      <w:pgMar w:left="1134" w:right="1134" w:gutter="0" w:header="1134" w:top="1693" w:footer="1134" w:bottom="1768"/>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ahoma">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Times">
    <w:altName w:val="Times New Roman"/>
    <w:charset w:val="01"/>
    <w:family w:val="roman"/>
    <w:pitch w:val="variable"/>
  </w:font>
  <w:font w:name="Noto Sans Symbols">
    <w:charset w:val="01"/>
    <w:family w:val="swiss"/>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depage"/>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LOnormal"/>
      <w:tabs>
        <w:tab w:val="clear" w:pos="709"/>
        <w:tab w:val="center" w:pos="4536" w:leader="none"/>
        <w:tab w:val="right" w:pos="9072" w:leader="none"/>
      </w:tabs>
      <w:spacing w:before="120" w:after="200"/>
      <w:ind w:hanging="0"/>
      <w:jc w:val="left"/>
      <w:rPr>
        <w:b/>
        <w:b/>
        <w:bCs/>
        <w:i/>
        <w:i/>
        <w:iCs/>
        <w:color w:val="000000"/>
        <w:sz w:val="18"/>
        <w:szCs w:val="18"/>
      </w:rPr>
    </w:pPr>
    <w:r>
      <w:rPr>
        <w:b/>
        <w:bCs/>
        <w:i/>
        <w:iCs/>
        <w:sz w:val="18"/>
        <w:szCs w:val="18"/>
      </w:rPr>
      <w:t xml:space="preserve">ENIT, April 24 &amp; 25, 2025, Tunisia </w:t>
      <w:tab/>
      <w:tab/>
      <w:tab/>
    </w:r>
    <w:r>
      <w:rPr>
        <w:b/>
        <w:bCs/>
        <w:i/>
        <w:iCs/>
        <w:sz w:val="18"/>
        <w:szCs w:val="18"/>
      </w:rPr>
      <w:fldChar w:fldCharType="begin"/>
    </w:r>
    <w:r>
      <w:rPr>
        <w:sz w:val="18"/>
        <w:i/>
        <w:b/>
        <w:szCs w:val="18"/>
        <w:iCs/>
        <w:bCs/>
      </w:rPr>
      <w:instrText xml:space="preserve"> PAGE </w:instrText>
    </w:r>
    <w:r>
      <w:rPr>
        <w:sz w:val="18"/>
        <w:i/>
        <w:b/>
        <w:szCs w:val="18"/>
        <w:iCs/>
        <w:bCs/>
      </w:rPr>
      <w:fldChar w:fldCharType="separate"/>
    </w:r>
    <w:r>
      <w:rPr>
        <w:sz w:val="18"/>
        <w:i/>
        <w:b/>
        <w:szCs w:val="18"/>
        <w:iCs/>
        <w:bCs/>
      </w:rPr>
      <w:t>6</w:t>
    </w:r>
    <w:r>
      <w:rPr>
        <w:sz w:val="18"/>
        <w:i/>
        <w:b/>
        <w:szCs w:val="18"/>
        <w:iCs/>
        <w:bCs/>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LOnormal"/>
      <w:tabs>
        <w:tab w:val="clear" w:pos="709"/>
        <w:tab w:val="center" w:pos="4536" w:leader="none"/>
        <w:tab w:val="right" w:pos="9072" w:leader="none"/>
      </w:tabs>
      <w:spacing w:before="120" w:after="200"/>
      <w:ind w:hanging="0"/>
      <w:jc w:val="left"/>
      <w:rPr>
        <w:b/>
        <w:b/>
        <w:bCs/>
        <w:i/>
        <w:i/>
        <w:iCs/>
        <w:color w:val="000000"/>
        <w:sz w:val="18"/>
        <w:szCs w:val="18"/>
      </w:rPr>
    </w:pPr>
    <w:r>
      <w:rPr>
        <w:b/>
        <w:bCs/>
        <w:i/>
        <w:iCs/>
        <w:sz w:val="18"/>
        <w:szCs w:val="18"/>
      </w:rPr>
      <w:t xml:space="preserve">ENIT, April 24 &amp; 25, 2025, Tunisia </w:t>
      <w:tab/>
      <w:tab/>
      <w:tab/>
    </w:r>
    <w:r>
      <w:rPr>
        <w:b/>
        <w:bCs/>
        <w:i/>
        <w:iCs/>
        <w:sz w:val="18"/>
        <w:szCs w:val="18"/>
      </w:rPr>
      <w:fldChar w:fldCharType="begin"/>
    </w:r>
    <w:r>
      <w:rPr>
        <w:sz w:val="18"/>
        <w:i/>
        <w:b/>
        <w:szCs w:val="18"/>
        <w:iCs/>
        <w:bCs/>
      </w:rPr>
      <w:instrText xml:space="preserve"> PAGE </w:instrText>
    </w:r>
    <w:r>
      <w:rPr>
        <w:sz w:val="18"/>
        <w:i/>
        <w:b/>
        <w:szCs w:val="18"/>
        <w:iCs/>
        <w:bCs/>
      </w:rPr>
      <w:fldChar w:fldCharType="separate"/>
    </w:r>
    <w:r>
      <w:rPr>
        <w:sz w:val="18"/>
        <w:i/>
        <w:b/>
        <w:szCs w:val="18"/>
        <w:iCs/>
        <w:bCs/>
      </w:rPr>
      <w:t>6</w:t>
    </w:r>
    <w:r>
      <w:rPr>
        <w:sz w:val="18"/>
        <w:i/>
        <w:b/>
        <w:szCs w:val="18"/>
        <w:iCs/>
        <w:bCs/>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tte"/>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LOnormal"/>
      <w:tabs>
        <w:tab w:val="clear" w:pos="709"/>
        <w:tab w:val="center" w:pos="4536" w:leader="none"/>
        <w:tab w:val="right" w:pos="9072" w:leader="none"/>
      </w:tabs>
      <w:spacing w:before="0" w:after="0"/>
      <w:ind w:hanging="0"/>
      <w:jc w:val="right"/>
      <w:rPr>
        <w:b/>
        <w:b/>
        <w:bCs/>
        <w:i/>
        <w:i/>
        <w:iCs/>
        <w:sz w:val="18"/>
        <w:szCs w:val="18"/>
      </w:rPr>
    </w:pPr>
    <w:r>
      <w:rPr>
        <w:b/>
        <w:bCs/>
        <w:i/>
        <w:iCs/>
        <w:sz w:val="18"/>
        <w:szCs w:val="18"/>
      </w:rPr>
      <w:t>----------------------------------------------------------------</w:t>
      <w:br/>
    </w:r>
    <w:bookmarkStart w:id="9" w:name="_GoBack"/>
    <w:r>
      <w:rPr>
        <w:b/>
        <w:bCs/>
        <w:i/>
        <w:iCs/>
        <w:sz w:val="18"/>
        <w:szCs w:val="18"/>
      </w:rPr>
      <w:t>International Conference on Soft Material Models</w:t>
    </w:r>
    <w:bookmarkEnd w:id="9"/>
  </w:p>
  <w:p>
    <w:pPr>
      <w:pStyle w:val="LOnormal"/>
      <w:tabs>
        <w:tab w:val="clear" w:pos="709"/>
        <w:tab w:val="center" w:pos="4536" w:leader="none"/>
        <w:tab w:val="right" w:pos="9072" w:leader="none"/>
      </w:tabs>
      <w:spacing w:before="0" w:after="0"/>
      <w:ind w:hanging="0"/>
      <w:jc w:val="right"/>
      <w:rPr>
        <w:b/>
        <w:b/>
        <w:bCs/>
        <w:i/>
        <w:i/>
        <w:iCs/>
        <w:sz w:val="18"/>
        <w:szCs w:val="18"/>
      </w:rPr>
    </w:pPr>
    <w:r>
      <w:rPr>
        <w:b/>
        <w:bCs/>
        <w:i/>
        <w:iCs/>
        <w:sz w:val="18"/>
        <w:szCs w:val="18"/>
      </w:rPr>
      <w:t>SMM 2025</w:t>
    </w:r>
  </w:p>
  <w:p>
    <w:pPr>
      <w:pStyle w:val="LOnormal"/>
      <w:tabs>
        <w:tab w:val="clear" w:pos="709"/>
        <w:tab w:val="center" w:pos="4536" w:leader="none"/>
        <w:tab w:val="right" w:pos="9072" w:leader="none"/>
      </w:tabs>
      <w:spacing w:before="0" w:after="0"/>
      <w:ind w:hanging="0"/>
      <w:jc w:val="right"/>
      <w:rPr>
        <w:b/>
        <w:b/>
        <w:bCs/>
        <w:i/>
        <w:i/>
        <w:iCs/>
        <w:sz w:val="18"/>
        <w:szCs w:val="18"/>
      </w:rPr>
    </w:pPr>
    <w:r>
      <w:rPr>
        <w:b/>
        <w:bCs/>
        <w:i/>
        <w:iCs/>
        <w:sz w:val="18"/>
        <w:szCs w:val="18"/>
      </w:rPr>
      <w:tab/>
      <w:tab/>
      <w:t>-</w:t>
    </w:r>
    <w:r>
      <w:rPr>
        <w:b/>
        <w:bCs/>
        <w:i/>
        <w:iCs/>
      </w:rPr>
      <w:t>-----</w:t>
    </w:r>
    <w:r>
      <w:rPr>
        <w:b/>
        <w:bCs/>
        <w:i/>
        <w:iCs/>
        <w:sz w:val="18"/>
        <w:szCs w:val="18"/>
      </w:rPr>
      <w:t>---------------------------------------------------------</w:t>
    </w:r>
  </w:p>
  <w:p>
    <w:pPr>
      <w:pStyle w:val="LOnormal"/>
      <w:tabs>
        <w:tab w:val="clear" w:pos="709"/>
        <w:tab w:val="center" w:pos="4536" w:leader="none"/>
        <w:tab w:val="right" w:pos="9072" w:leader="none"/>
      </w:tabs>
      <w:spacing w:before="0" w:after="0"/>
      <w:ind w:hanging="0"/>
      <w:jc w:val="right"/>
      <w:rPr>
        <w:b/>
        <w:b/>
        <w:bCs/>
        <w:i/>
        <w:i/>
        <w:iCs/>
        <w:sz w:val="8"/>
        <w:szCs w:val="8"/>
      </w:rPr>
    </w:pPr>
    <w:r>
      <w:rPr>
        <w:b/>
        <w:bCs/>
        <w:i/>
        <w:iCs/>
        <w:sz w:val="8"/>
        <w:szCs w:val="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LOnormal"/>
      <w:tabs>
        <w:tab w:val="clear" w:pos="709"/>
        <w:tab w:val="center" w:pos="4536" w:leader="none"/>
        <w:tab w:val="right" w:pos="9072" w:leader="none"/>
      </w:tabs>
      <w:spacing w:before="0" w:after="0"/>
      <w:ind w:hanging="0"/>
      <w:jc w:val="right"/>
      <w:rPr>
        <w:b/>
        <w:b/>
        <w:bCs/>
        <w:i/>
        <w:i/>
        <w:iCs/>
        <w:sz w:val="18"/>
        <w:szCs w:val="18"/>
      </w:rPr>
    </w:pPr>
    <w:r>
      <w:rPr>
        <w:b/>
        <w:bCs/>
        <w:i/>
        <w:iCs/>
        <w:sz w:val="18"/>
        <w:szCs w:val="18"/>
      </w:rPr>
      <w:t>----------------------------------------------------------------</w:t>
      <w:br/>
    </w:r>
    <w:bookmarkStart w:id="10" w:name="_GoBack"/>
    <w:r>
      <w:rPr>
        <w:b/>
        <w:bCs/>
        <w:i/>
        <w:iCs/>
        <w:sz w:val="18"/>
        <w:szCs w:val="18"/>
      </w:rPr>
      <w:t>International Conference on Soft Material Models</w:t>
    </w:r>
    <w:bookmarkEnd w:id="10"/>
  </w:p>
  <w:p>
    <w:pPr>
      <w:pStyle w:val="LOnormal"/>
      <w:tabs>
        <w:tab w:val="clear" w:pos="709"/>
        <w:tab w:val="center" w:pos="4536" w:leader="none"/>
        <w:tab w:val="right" w:pos="9072" w:leader="none"/>
      </w:tabs>
      <w:spacing w:before="0" w:after="0"/>
      <w:ind w:hanging="0"/>
      <w:jc w:val="right"/>
      <w:rPr>
        <w:b/>
        <w:b/>
        <w:bCs/>
        <w:i/>
        <w:i/>
        <w:iCs/>
        <w:sz w:val="18"/>
        <w:szCs w:val="18"/>
      </w:rPr>
    </w:pPr>
    <w:r>
      <w:rPr>
        <w:b/>
        <w:bCs/>
        <w:i/>
        <w:iCs/>
        <w:sz w:val="18"/>
        <w:szCs w:val="18"/>
      </w:rPr>
      <w:t>SMM 2025</w:t>
    </w:r>
  </w:p>
  <w:p>
    <w:pPr>
      <w:pStyle w:val="LOnormal"/>
      <w:tabs>
        <w:tab w:val="clear" w:pos="709"/>
        <w:tab w:val="center" w:pos="4536" w:leader="none"/>
        <w:tab w:val="right" w:pos="9072" w:leader="none"/>
      </w:tabs>
      <w:spacing w:before="0" w:after="0"/>
      <w:ind w:hanging="0"/>
      <w:jc w:val="right"/>
      <w:rPr>
        <w:b/>
        <w:b/>
        <w:bCs/>
        <w:i/>
        <w:i/>
        <w:iCs/>
        <w:sz w:val="18"/>
        <w:szCs w:val="18"/>
      </w:rPr>
    </w:pPr>
    <w:r>
      <w:rPr>
        <w:b/>
        <w:bCs/>
        <w:i/>
        <w:iCs/>
        <w:sz w:val="18"/>
        <w:szCs w:val="18"/>
      </w:rPr>
      <w:tab/>
      <w:tab/>
      <w:t>-</w:t>
    </w:r>
    <w:r>
      <w:rPr>
        <w:b/>
        <w:bCs/>
        <w:i/>
        <w:iCs/>
      </w:rPr>
      <w:t>-----</w:t>
    </w:r>
    <w:r>
      <w:rPr>
        <w:b/>
        <w:bCs/>
        <w:i/>
        <w:iCs/>
        <w:sz w:val="18"/>
        <w:szCs w:val="18"/>
      </w:rPr>
      <w:t>---------------------------------------------------------</w:t>
    </w:r>
  </w:p>
  <w:p>
    <w:pPr>
      <w:pStyle w:val="LOnormal"/>
      <w:tabs>
        <w:tab w:val="clear" w:pos="709"/>
        <w:tab w:val="center" w:pos="4536" w:leader="none"/>
        <w:tab w:val="right" w:pos="9072" w:leader="none"/>
      </w:tabs>
      <w:spacing w:before="0" w:after="0"/>
      <w:ind w:hanging="0"/>
      <w:jc w:val="right"/>
      <w:rPr>
        <w:b/>
        <w:b/>
        <w:bCs/>
        <w:i/>
        <w:i/>
        <w:iCs/>
        <w:sz w:val="8"/>
        <w:szCs w:val="8"/>
      </w:rPr>
    </w:pPr>
    <w:r>
      <w:rPr>
        <w:b/>
        <w:bCs/>
        <w:i/>
        <w:iCs/>
        <w:sz w:val="8"/>
        <w:szCs w:val="8"/>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008" w:hanging="360"/>
      </w:pPr>
      <w:rPr>
        <w:rFonts w:ascii="Noto Sans Symbols" w:hAnsi="Noto Sans Symbols" w:cs="Noto Sans Symbols" w:hint="default"/>
      </w:rPr>
    </w:lvl>
    <w:lvl w:ilvl="1">
      <w:start w:val="1"/>
      <w:numFmt w:val="bullet"/>
      <w:lvlText w:val="o"/>
      <w:lvlJc w:val="left"/>
      <w:pPr>
        <w:tabs>
          <w:tab w:val="num" w:pos="0"/>
        </w:tabs>
        <w:ind w:left="1728" w:hanging="360"/>
      </w:pPr>
      <w:rPr>
        <w:rFonts w:ascii="Courier New" w:hAnsi="Courier New" w:cs="Courier New" w:hint="default"/>
      </w:rPr>
    </w:lvl>
    <w:lvl w:ilvl="2">
      <w:start w:val="1"/>
      <w:numFmt w:val="bullet"/>
      <w:lvlText w:val="▪"/>
      <w:lvlJc w:val="left"/>
      <w:pPr>
        <w:tabs>
          <w:tab w:val="num" w:pos="0"/>
        </w:tabs>
        <w:ind w:left="2448" w:hanging="360"/>
      </w:pPr>
      <w:rPr>
        <w:rFonts w:ascii="Noto Sans Symbols" w:hAnsi="Noto Sans Symbols" w:cs="Noto Sans Symbols" w:hint="default"/>
      </w:rPr>
    </w:lvl>
    <w:lvl w:ilvl="3">
      <w:start w:val="1"/>
      <w:numFmt w:val="bullet"/>
      <w:lvlText w:val="●"/>
      <w:lvlJc w:val="left"/>
      <w:pPr>
        <w:tabs>
          <w:tab w:val="num" w:pos="0"/>
        </w:tabs>
        <w:ind w:left="3168" w:hanging="360"/>
      </w:pPr>
      <w:rPr>
        <w:rFonts w:ascii="Noto Sans Symbols" w:hAnsi="Noto Sans Symbols" w:cs="Noto Sans Symbols" w:hint="default"/>
      </w:rPr>
    </w:lvl>
    <w:lvl w:ilvl="4">
      <w:start w:val="1"/>
      <w:numFmt w:val="bullet"/>
      <w:lvlText w:val="o"/>
      <w:lvlJc w:val="left"/>
      <w:pPr>
        <w:tabs>
          <w:tab w:val="num" w:pos="0"/>
        </w:tabs>
        <w:ind w:left="3888" w:hanging="360"/>
      </w:pPr>
      <w:rPr>
        <w:rFonts w:ascii="Courier New" w:hAnsi="Courier New" w:cs="Courier New" w:hint="default"/>
      </w:rPr>
    </w:lvl>
    <w:lvl w:ilvl="5">
      <w:start w:val="1"/>
      <w:numFmt w:val="bullet"/>
      <w:lvlText w:val="▪"/>
      <w:lvlJc w:val="left"/>
      <w:pPr>
        <w:tabs>
          <w:tab w:val="num" w:pos="0"/>
        </w:tabs>
        <w:ind w:left="4608" w:hanging="360"/>
      </w:pPr>
      <w:rPr>
        <w:rFonts w:ascii="Noto Sans Symbols" w:hAnsi="Noto Sans Symbols" w:cs="Noto Sans Symbols" w:hint="default"/>
      </w:rPr>
    </w:lvl>
    <w:lvl w:ilvl="6">
      <w:start w:val="1"/>
      <w:numFmt w:val="bullet"/>
      <w:lvlText w:val="●"/>
      <w:lvlJc w:val="left"/>
      <w:pPr>
        <w:tabs>
          <w:tab w:val="num" w:pos="0"/>
        </w:tabs>
        <w:ind w:left="5328" w:hanging="360"/>
      </w:pPr>
      <w:rPr>
        <w:rFonts w:ascii="Noto Sans Symbols" w:hAnsi="Noto Sans Symbols" w:cs="Noto Sans Symbols" w:hint="default"/>
      </w:rPr>
    </w:lvl>
    <w:lvl w:ilvl="7">
      <w:start w:val="1"/>
      <w:numFmt w:val="bullet"/>
      <w:lvlText w:val="o"/>
      <w:lvlJc w:val="left"/>
      <w:pPr>
        <w:tabs>
          <w:tab w:val="num" w:pos="0"/>
        </w:tabs>
        <w:ind w:left="6048" w:hanging="360"/>
      </w:pPr>
      <w:rPr>
        <w:rFonts w:ascii="Courier New" w:hAnsi="Courier New" w:cs="Courier New" w:hint="default"/>
      </w:rPr>
    </w:lvl>
    <w:lvl w:ilvl="8">
      <w:start w:val="1"/>
      <w:numFmt w:val="bullet"/>
      <w:lvlText w:val="▪"/>
      <w:lvlJc w:val="left"/>
      <w:pPr>
        <w:tabs>
          <w:tab w:val="num" w:pos="0"/>
        </w:tabs>
        <w:ind w:left="6768" w:hanging="360"/>
      </w:pPr>
      <w:rPr>
        <w:rFonts w:ascii="Noto Sans Symbols" w:hAnsi="Noto Sans Symbols" w:cs="Noto Sans Symbols" w:hint="default"/>
      </w:rPr>
    </w:lvl>
  </w:abstractNum>
  <w:abstractNum w:abstractNumId="2">
    <w:lvl w:ilvl="0">
      <w:start w:val="1"/>
      <w:numFmt w:val="bullet"/>
      <w:lvlText w:val="●"/>
      <w:lvlJc w:val="left"/>
      <w:pPr>
        <w:tabs>
          <w:tab w:val="num" w:pos="0"/>
        </w:tabs>
        <w:ind w:left="1008" w:hanging="360"/>
      </w:pPr>
      <w:rPr>
        <w:rFonts w:ascii="Noto Sans Symbols" w:hAnsi="Noto Sans Symbols" w:cs="Noto Sans Symbols" w:hint="default"/>
      </w:rPr>
    </w:lvl>
    <w:lvl w:ilvl="1">
      <w:start w:val="1"/>
      <w:numFmt w:val="bullet"/>
      <w:lvlText w:val="o"/>
      <w:lvlJc w:val="left"/>
      <w:pPr>
        <w:tabs>
          <w:tab w:val="num" w:pos="0"/>
        </w:tabs>
        <w:ind w:left="1728" w:hanging="360"/>
      </w:pPr>
      <w:rPr>
        <w:rFonts w:ascii="Courier New" w:hAnsi="Courier New" w:cs="Courier New" w:hint="default"/>
      </w:rPr>
    </w:lvl>
    <w:lvl w:ilvl="2">
      <w:start w:val="1"/>
      <w:numFmt w:val="bullet"/>
      <w:lvlText w:val="▪"/>
      <w:lvlJc w:val="left"/>
      <w:pPr>
        <w:tabs>
          <w:tab w:val="num" w:pos="0"/>
        </w:tabs>
        <w:ind w:left="2448" w:hanging="360"/>
      </w:pPr>
      <w:rPr>
        <w:rFonts w:ascii="Noto Sans Symbols" w:hAnsi="Noto Sans Symbols" w:cs="Noto Sans Symbols" w:hint="default"/>
      </w:rPr>
    </w:lvl>
    <w:lvl w:ilvl="3">
      <w:start w:val="1"/>
      <w:numFmt w:val="bullet"/>
      <w:lvlText w:val="●"/>
      <w:lvlJc w:val="left"/>
      <w:pPr>
        <w:tabs>
          <w:tab w:val="num" w:pos="0"/>
        </w:tabs>
        <w:ind w:left="3168" w:hanging="360"/>
      </w:pPr>
      <w:rPr>
        <w:rFonts w:ascii="Noto Sans Symbols" w:hAnsi="Noto Sans Symbols" w:cs="Noto Sans Symbols" w:hint="default"/>
      </w:rPr>
    </w:lvl>
    <w:lvl w:ilvl="4">
      <w:start w:val="1"/>
      <w:numFmt w:val="bullet"/>
      <w:lvlText w:val="o"/>
      <w:lvlJc w:val="left"/>
      <w:pPr>
        <w:tabs>
          <w:tab w:val="num" w:pos="0"/>
        </w:tabs>
        <w:ind w:left="3888" w:hanging="360"/>
      </w:pPr>
      <w:rPr>
        <w:rFonts w:ascii="Courier New" w:hAnsi="Courier New" w:cs="Courier New" w:hint="default"/>
      </w:rPr>
    </w:lvl>
    <w:lvl w:ilvl="5">
      <w:start w:val="1"/>
      <w:numFmt w:val="bullet"/>
      <w:lvlText w:val="▪"/>
      <w:lvlJc w:val="left"/>
      <w:pPr>
        <w:tabs>
          <w:tab w:val="num" w:pos="0"/>
        </w:tabs>
        <w:ind w:left="4608" w:hanging="360"/>
      </w:pPr>
      <w:rPr>
        <w:rFonts w:ascii="Noto Sans Symbols" w:hAnsi="Noto Sans Symbols" w:cs="Noto Sans Symbols" w:hint="default"/>
      </w:rPr>
    </w:lvl>
    <w:lvl w:ilvl="6">
      <w:start w:val="1"/>
      <w:numFmt w:val="bullet"/>
      <w:lvlText w:val="●"/>
      <w:lvlJc w:val="left"/>
      <w:pPr>
        <w:tabs>
          <w:tab w:val="num" w:pos="0"/>
        </w:tabs>
        <w:ind w:left="5328" w:hanging="360"/>
      </w:pPr>
      <w:rPr>
        <w:rFonts w:ascii="Noto Sans Symbols" w:hAnsi="Noto Sans Symbols" w:cs="Noto Sans Symbols" w:hint="default"/>
      </w:rPr>
    </w:lvl>
    <w:lvl w:ilvl="7">
      <w:start w:val="1"/>
      <w:numFmt w:val="bullet"/>
      <w:lvlText w:val="o"/>
      <w:lvlJc w:val="left"/>
      <w:pPr>
        <w:tabs>
          <w:tab w:val="num" w:pos="0"/>
        </w:tabs>
        <w:ind w:left="6048" w:hanging="360"/>
      </w:pPr>
      <w:rPr>
        <w:rFonts w:ascii="Courier New" w:hAnsi="Courier New" w:cs="Courier New" w:hint="default"/>
      </w:rPr>
    </w:lvl>
    <w:lvl w:ilvl="8">
      <w:start w:val="1"/>
      <w:numFmt w:val="bullet"/>
      <w:lvlText w:val="▪"/>
      <w:lvlJc w:val="left"/>
      <w:pPr>
        <w:tabs>
          <w:tab w:val="num" w:pos="0"/>
        </w:tabs>
        <w:ind w:left="6768" w:hanging="360"/>
      </w:pPr>
      <w:rPr>
        <w:rFonts w:ascii="Noto Sans Symbols" w:hAnsi="Noto Sans Symbols" w:cs="Noto Sans Symbols" w:hint="default"/>
      </w:rPr>
    </w:lvl>
  </w:abstractNum>
  <w:abstractNum w:abstractNumId="3">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4">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5">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6">
    <w:lvl w:ilvl="0">
      <w:start w:val="1"/>
      <w:numFmt w:val="bullet"/>
      <w:lvlText w:val="●"/>
      <w:lvlJc w:val="left"/>
      <w:pPr>
        <w:tabs>
          <w:tab w:val="num" w:pos="0"/>
        </w:tabs>
        <w:ind w:left="720" w:hanging="360"/>
      </w:pPr>
      <w:rPr>
        <w:rFonts w:ascii="Noto Sans Symbols" w:hAnsi="Noto Sans Symbols" w:cs="Noto Sans Symbols" w:hint="default"/>
        <w:sz w:val="20"/>
        <w:szCs w:val="20"/>
      </w:rPr>
    </w:lvl>
    <w:lvl w:ilvl="1">
      <w:start w:val="1"/>
      <w:numFmt w:val="bullet"/>
      <w:lvlText w:val="o"/>
      <w:lvlJc w:val="left"/>
      <w:pPr>
        <w:tabs>
          <w:tab w:val="num" w:pos="0"/>
        </w:tabs>
        <w:ind w:left="1440" w:hanging="360"/>
      </w:pPr>
      <w:rPr>
        <w:rFonts w:ascii="Courier New" w:hAnsi="Courier New" w:cs="Courier New" w:hint="default"/>
        <w:sz w:val="20"/>
        <w:szCs w:val="20"/>
      </w:rPr>
    </w:lvl>
    <w:lvl w:ilvl="2">
      <w:start w:val="1"/>
      <w:numFmt w:val="bullet"/>
      <w:lvlText w:val="▪"/>
      <w:lvlJc w:val="left"/>
      <w:pPr>
        <w:tabs>
          <w:tab w:val="num" w:pos="0"/>
        </w:tabs>
        <w:ind w:left="2160" w:hanging="360"/>
      </w:pPr>
      <w:rPr>
        <w:rFonts w:ascii="Noto Sans Symbols" w:hAnsi="Noto Sans Symbols" w:cs="Noto Sans Symbols" w:hint="default"/>
        <w:sz w:val="20"/>
        <w:szCs w:val="20"/>
      </w:rPr>
    </w:lvl>
    <w:lvl w:ilvl="3">
      <w:start w:val="1"/>
      <w:numFmt w:val="bullet"/>
      <w:lvlText w:val="▪"/>
      <w:lvlJc w:val="left"/>
      <w:pPr>
        <w:tabs>
          <w:tab w:val="num" w:pos="0"/>
        </w:tabs>
        <w:ind w:left="2880" w:hanging="360"/>
      </w:pPr>
      <w:rPr>
        <w:rFonts w:ascii="Noto Sans Symbols" w:hAnsi="Noto Sans Symbols" w:cs="Noto Sans Symbols" w:hint="default"/>
        <w:sz w:val="20"/>
        <w:szCs w:val="20"/>
      </w:rPr>
    </w:lvl>
    <w:lvl w:ilvl="4">
      <w:start w:val="1"/>
      <w:numFmt w:val="bullet"/>
      <w:lvlText w:val="▪"/>
      <w:lvlJc w:val="left"/>
      <w:pPr>
        <w:tabs>
          <w:tab w:val="num" w:pos="0"/>
        </w:tabs>
        <w:ind w:left="3600" w:hanging="360"/>
      </w:pPr>
      <w:rPr>
        <w:rFonts w:ascii="Noto Sans Symbols" w:hAnsi="Noto Sans Symbols" w:cs="Noto Sans Symbols" w:hint="default"/>
        <w:sz w:val="20"/>
        <w:szCs w:val="20"/>
      </w:rPr>
    </w:lvl>
    <w:lvl w:ilvl="5">
      <w:start w:val="1"/>
      <w:numFmt w:val="bullet"/>
      <w:lvlText w:val="▪"/>
      <w:lvlJc w:val="left"/>
      <w:pPr>
        <w:tabs>
          <w:tab w:val="num" w:pos="0"/>
        </w:tabs>
        <w:ind w:left="4320" w:hanging="360"/>
      </w:pPr>
      <w:rPr>
        <w:rFonts w:ascii="Noto Sans Symbols" w:hAnsi="Noto Sans Symbols" w:cs="Noto Sans Symbols" w:hint="default"/>
        <w:sz w:val="20"/>
        <w:szCs w:val="20"/>
      </w:rPr>
    </w:lvl>
    <w:lvl w:ilvl="6">
      <w:start w:val="1"/>
      <w:numFmt w:val="bullet"/>
      <w:lvlText w:val="▪"/>
      <w:lvlJc w:val="left"/>
      <w:pPr>
        <w:tabs>
          <w:tab w:val="num" w:pos="0"/>
        </w:tabs>
        <w:ind w:left="5040" w:hanging="360"/>
      </w:pPr>
      <w:rPr>
        <w:rFonts w:ascii="Noto Sans Symbols" w:hAnsi="Noto Sans Symbols" w:cs="Noto Sans Symbols" w:hint="default"/>
        <w:sz w:val="20"/>
        <w:szCs w:val="20"/>
      </w:rPr>
    </w:lvl>
    <w:lvl w:ilvl="7">
      <w:start w:val="1"/>
      <w:numFmt w:val="bullet"/>
      <w:lvlText w:val="▪"/>
      <w:lvlJc w:val="left"/>
      <w:pPr>
        <w:tabs>
          <w:tab w:val="num" w:pos="0"/>
        </w:tabs>
        <w:ind w:left="5760" w:hanging="360"/>
      </w:pPr>
      <w:rPr>
        <w:rFonts w:ascii="Noto Sans Symbols" w:hAnsi="Noto Sans Symbols" w:cs="Noto Sans Symbols" w:hint="default"/>
        <w:sz w:val="20"/>
        <w:szCs w:val="20"/>
      </w:rPr>
    </w:lvl>
    <w:lvl w:ilvl="8">
      <w:start w:val="1"/>
      <w:numFmt w:val="bullet"/>
      <w:lvlText w:val="▪"/>
      <w:lvlJc w:val="left"/>
      <w:pPr>
        <w:tabs>
          <w:tab w:val="num" w:pos="0"/>
        </w:tabs>
        <w:ind w:left="6480" w:hanging="360"/>
      </w:pPr>
      <w:rPr>
        <w:rFonts w:ascii="Noto Sans Symbols" w:hAnsi="Noto Sans Symbols" w:cs="Noto Sans Symbols" w:hint="default"/>
        <w:sz w:val="20"/>
        <w:szCs w:val="20"/>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40"/>
  <w:defaultTabStop w:val="709"/>
  <w:autoHyphenation w:val="true"/>
  <w:compat>
    <w:compatSetting w:name="compatibilityMode" w:uri="http://schemas.microsoft.com/office/word" w:val="14"/>
  </w:compat>
  <w:hyphenationZone w:val="425"/>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fr-FR" w:eastAsia="zh-CN" w:bidi="hi-IN"/>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Liberation Serif" w:hAnsi="Liberation Serif" w:eastAsia="Noto Serif CJK SC" w:cs="Lohit Devanagari"/>
      <w:color w:val="auto"/>
      <w:kern w:val="2"/>
      <w:sz w:val="24"/>
      <w:szCs w:val="24"/>
      <w:lang w:val="fr-FR" w:eastAsia="zh-CN" w:bidi="hi-IN"/>
    </w:rPr>
  </w:style>
  <w:style w:type="character" w:styleId="DefaultParagraphFont" w:default="1">
    <w:name w:val="Default Paragraph Font"/>
    <w:uiPriority w:val="1"/>
    <w:semiHidden/>
    <w:unhideWhenUsed/>
    <w:qFormat/>
    <w:rPr/>
  </w:style>
  <w:style w:type="character" w:styleId="LienInternet" w:customStyle="1">
    <w:name w:val="Lien Internet"/>
    <w:rPr>
      <w:color w:val="000080"/>
      <w:u w:val="single"/>
    </w:rPr>
  </w:style>
  <w:style w:type="character" w:styleId="TextedebullesCar" w:customStyle="1">
    <w:name w:val="Texte de bulles Car"/>
    <w:basedOn w:val="DefaultParagraphFont"/>
    <w:link w:val="BalloonText"/>
    <w:uiPriority w:val="99"/>
    <w:semiHidden/>
    <w:qFormat/>
    <w:rsid w:val="002e6161"/>
    <w:rPr>
      <w:rFonts w:ascii="Tahoma" w:hAnsi="Tahoma" w:cs="Mangal"/>
      <w:sz w:val="16"/>
      <w:szCs w:val="14"/>
    </w:rPr>
  </w:style>
  <w:style w:type="paragraph" w:styleId="Titre">
    <w:name w:val="Titre"/>
    <w:basedOn w:val="Normal"/>
    <w:next w:val="Corpsdetexte"/>
    <w:qFormat/>
    <w:pPr>
      <w:keepNext w:val="true"/>
      <w:spacing w:before="240" w:after="120"/>
    </w:pPr>
    <w:rPr>
      <w:rFonts w:ascii="Liberation Sans" w:hAnsi="Liberation Sans" w:eastAsia="Noto Sans CJK SC" w:cs="Lohit Devanagari"/>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style>
  <w:style w:type="paragraph" w:styleId="Lgende">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Titreprincipal">
    <w:name w:val="Title"/>
    <w:basedOn w:val="Normal"/>
    <w:next w:val="Corpsdetexte"/>
    <w:qFormat/>
    <w:pPr>
      <w:keepNext w:val="true"/>
      <w:spacing w:before="240" w:after="120"/>
    </w:pPr>
    <w:rPr>
      <w:rFonts w:ascii="Liberation Sans" w:hAnsi="Liberation Sans" w:eastAsia="Noto Sans CJK SC"/>
      <w:sz w:val="28"/>
      <w:szCs w:val="28"/>
    </w:rPr>
  </w:style>
  <w:style w:type="paragraph" w:styleId="Caption">
    <w:name w:val="caption"/>
    <w:basedOn w:val="Normal"/>
    <w:qFormat/>
    <w:pPr>
      <w:suppressLineNumbers/>
      <w:spacing w:before="120" w:after="120"/>
    </w:pPr>
    <w:rPr>
      <w:i/>
      <w:iCs/>
    </w:rPr>
  </w:style>
  <w:style w:type="paragraph" w:styleId="LOnormal" w:customStyle="1">
    <w:name w:val="LO-normal"/>
    <w:qFormat/>
    <w:pPr>
      <w:widowControl/>
      <w:suppressAutoHyphens w:val="true"/>
      <w:bidi w:val="0"/>
      <w:spacing w:before="120" w:after="200"/>
      <w:ind w:firstLine="238"/>
      <w:jc w:val="both"/>
    </w:pPr>
    <w:rPr>
      <w:rFonts w:ascii="Times" w:hAnsi="Times" w:eastAsia="Times" w:cs="Times"/>
      <w:color w:val="auto"/>
      <w:kern w:val="0"/>
      <w:sz w:val="20"/>
      <w:szCs w:val="20"/>
      <w:lang w:val="en-US" w:eastAsia="zh-CN" w:bidi="hi-IN"/>
    </w:rPr>
  </w:style>
  <w:style w:type="paragraph" w:styleId="Entteetpieddepage" w:customStyle="1">
    <w:name w:val="En-tête et pied de page"/>
    <w:basedOn w:val="Normal"/>
    <w:qFormat/>
    <w:pPr>
      <w:suppressLineNumbers/>
      <w:tabs>
        <w:tab w:val="clear" w:pos="709"/>
        <w:tab w:val="center" w:pos="4819" w:leader="none"/>
        <w:tab w:val="right" w:pos="9638" w:leader="none"/>
      </w:tabs>
    </w:pPr>
    <w:rPr/>
  </w:style>
  <w:style w:type="paragraph" w:styleId="Entte">
    <w:name w:val="Header"/>
    <w:basedOn w:val="Entteetpieddepage"/>
    <w:pPr/>
    <w:rPr/>
  </w:style>
  <w:style w:type="paragraph" w:styleId="Pieddepage">
    <w:name w:val="Footer"/>
    <w:basedOn w:val="Entteetpieddepage"/>
    <w:pPr/>
    <w:rPr/>
  </w:style>
  <w:style w:type="paragraph" w:styleId="BalloonText">
    <w:name w:val="Balloon Text"/>
    <w:basedOn w:val="Normal"/>
    <w:link w:val="TextedebullesCar"/>
    <w:uiPriority w:val="99"/>
    <w:semiHidden/>
    <w:unhideWhenUsed/>
    <w:qFormat/>
    <w:rsid w:val="002e6161"/>
    <w:pPr/>
    <w:rPr>
      <w:rFonts w:ascii="Tahoma" w:hAnsi="Tahoma" w:cs="Mangal"/>
      <w:sz w:val="16"/>
      <w:szCs w:val="14"/>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orrespondingauthorname@aaa.bbb" TargetMode="External"/><Relationship Id="rId3" Type="http://schemas.openxmlformats.org/officeDocument/2006/relationships/image" Target="media/image1.png"/><Relationship Id="rId4" Type="http://schemas.openxmlformats.org/officeDocument/2006/relationships/hyperlink" Target="https://www.oercommons.org/authoring/53029-nursing-clinical-brain/view" TargetMode="External"/><Relationship Id="rId5" Type="http://schemas.openxmlformats.org/officeDocument/2006/relationships/hyperlink" Target="https://doi.org/10.1007/978-981-10-4241-6_2" TargetMode="External"/><Relationship Id="rId6" Type="http://schemas.openxmlformats.org/officeDocument/2006/relationships/hyperlink" Target="https://doi.org/xx.xxx/xxxx"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LibreOffice/7.3.7.2$Linux_X86_64 LibreOffice_project/30$Build-2</Application>
  <AppVersion>15.0000</AppVersion>
  <Pages>6</Pages>
  <Words>1926</Words>
  <Characters>10530</Characters>
  <CharactersWithSpaces>12331</CharactersWithSpaces>
  <Paragraphs>106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2025-01-24T11:43:00Z</dcterms:created>
  <dc:creator>ASMA BELHADJ</dc:creator>
  <dc:description/>
  <dc:language>fr-FR</dc:language>
  <cp:lastModifiedBy/>
  <dcterms:modified xsi:type="dcterms:W3CDTF">2025-01-24T12:51:57Z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